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333"/>
        <w:tblW w:w="12865" w:type="dxa"/>
        <w:tblLayout w:type="fixed"/>
        <w:tblLook w:val="04A0" w:firstRow="1" w:lastRow="0" w:firstColumn="1" w:lastColumn="0" w:noHBand="0" w:noVBand="1"/>
      </w:tblPr>
      <w:tblGrid>
        <w:gridCol w:w="1795"/>
        <w:gridCol w:w="2520"/>
        <w:gridCol w:w="1980"/>
        <w:gridCol w:w="1175"/>
        <w:gridCol w:w="1975"/>
        <w:gridCol w:w="1710"/>
        <w:gridCol w:w="1710"/>
      </w:tblGrid>
      <w:tr w:rsidR="001E3BEF" w:rsidRPr="0095723A" w14:paraId="617B95CC" w14:textId="77777777" w:rsidTr="0095723A">
        <w:trPr>
          <w:trHeight w:val="514"/>
        </w:trPr>
        <w:tc>
          <w:tcPr>
            <w:tcW w:w="1795" w:type="dxa"/>
            <w:shd w:val="clear" w:color="auto" w:fill="B4C6E7" w:themeFill="accent1" w:themeFillTint="66"/>
          </w:tcPr>
          <w:p w14:paraId="6467D88D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Updated</w:t>
            </w:r>
          </w:p>
          <w:p w14:paraId="7EEB9407" w14:textId="6453FC87" w:rsidR="008855C0" w:rsidRPr="0095723A" w:rsidRDefault="00BD3E36" w:rsidP="7717B0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8855C0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</w:t>
            </w:r>
            <w:r w:rsidR="007D3128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="008855C0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/2</w:t>
            </w:r>
            <w:r w:rsidR="07B227E8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2E9AC595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029AB47B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Properties Impacted</w:t>
            </w:r>
          </w:p>
        </w:tc>
        <w:tc>
          <w:tcPr>
            <w:tcW w:w="1175" w:type="dxa"/>
            <w:shd w:val="clear" w:color="auto" w:fill="B4C6E7" w:themeFill="accent1" w:themeFillTint="66"/>
          </w:tcPr>
          <w:p w14:paraId="040A93E0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975" w:type="dxa"/>
            <w:shd w:val="clear" w:color="auto" w:fill="B4C6E7" w:themeFill="accent1" w:themeFillTint="66"/>
          </w:tcPr>
          <w:p w14:paraId="24D7ACE7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New Lease Actions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0110F10E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Renewal Actions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4828D4E1" w14:textId="361C9285" w:rsidR="008855C0" w:rsidRPr="0095723A" w:rsidRDefault="3734C0FB" w:rsidP="38393B7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Additional</w:t>
            </w:r>
            <w:r w:rsidR="30E065C8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Resources</w:t>
            </w:r>
          </w:p>
        </w:tc>
      </w:tr>
      <w:tr w:rsidR="001E3BEF" w:rsidRPr="0095723A" w14:paraId="188B86F5" w14:textId="77777777" w:rsidTr="0095723A">
        <w:trPr>
          <w:trHeight w:val="3824"/>
        </w:trPr>
        <w:tc>
          <w:tcPr>
            <w:tcW w:w="1795" w:type="dxa"/>
          </w:tcPr>
          <w:p w14:paraId="254A20F8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AB1482</w:t>
            </w:r>
          </w:p>
        </w:tc>
        <w:tc>
          <w:tcPr>
            <w:tcW w:w="2520" w:type="dxa"/>
          </w:tcPr>
          <w:p w14:paraId="27DF9673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Tenant Protection Act of 2019.</w:t>
            </w:r>
          </w:p>
          <w:p w14:paraId="479B70C6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Limits rent increases to 5% + CPI,</w:t>
            </w:r>
          </w:p>
          <w:p w14:paraId="31424235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not to exceed a total of 10%, in any 12-month period after initial</w:t>
            </w:r>
          </w:p>
          <w:p w14:paraId="55F2C2C5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lease term.</w:t>
            </w:r>
          </w:p>
          <w:p w14:paraId="5D26DF66" w14:textId="77777777" w:rsidR="008855C0" w:rsidRPr="0095723A" w:rsidRDefault="008855C0" w:rsidP="00B00E6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(CPI = Consumer Price Index, updated March/April each year for each region)</w:t>
            </w:r>
          </w:p>
        </w:tc>
        <w:tc>
          <w:tcPr>
            <w:tcW w:w="1980" w:type="dxa"/>
          </w:tcPr>
          <w:p w14:paraId="3755321C" w14:textId="2564A9E3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All California Communities with Certificate of Occupancy issued prior to 200</w:t>
            </w:r>
            <w:r w:rsidR="00F76D41" w:rsidRPr="0095723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not regulated by stricter local rent control or affordable/BMR program. (1</w:t>
            </w:r>
            <w:r w:rsidR="004F29B9" w:rsidRPr="0095723A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F29B9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CA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Communities older than 200</w:t>
            </w:r>
            <w:r w:rsidR="004F29B9" w:rsidRPr="0095723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4F29B9" w:rsidRPr="0095723A">
              <w:rPr>
                <w:rFonts w:asciiTheme="majorHAnsi" w:hAnsiTheme="majorHAnsi" w:cstheme="majorHAnsi"/>
                <w:sz w:val="20"/>
                <w:szCs w:val="20"/>
              </w:rPr>
              <w:t>47 CA communities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not regulated by stricter local rent control or affordable program)</w:t>
            </w:r>
            <w:r w:rsidR="004F29B9" w:rsidRPr="0095723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14:paraId="5A701EC8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Effective 1/1/2020</w:t>
            </w:r>
          </w:p>
        </w:tc>
        <w:tc>
          <w:tcPr>
            <w:tcW w:w="1975" w:type="dxa"/>
          </w:tcPr>
          <w:p w14:paraId="1A59CADB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None - Vacancy Decontrol is Applicable</w:t>
            </w:r>
          </w:p>
        </w:tc>
        <w:tc>
          <w:tcPr>
            <w:tcW w:w="1710" w:type="dxa"/>
          </w:tcPr>
          <w:p w14:paraId="654BDFCA" w14:textId="77777777" w:rsidR="00C46F18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All renewal term offers capped at 5%+CPI. </w:t>
            </w:r>
          </w:p>
          <w:p w14:paraId="6EE5E87D" w14:textId="77777777" w:rsidR="00C46F18" w:rsidRPr="0095723A" w:rsidRDefault="00C46F18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C7F221" w14:textId="77804951" w:rsidR="008855C0" w:rsidRPr="0095723A" w:rsidRDefault="004F29B9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Feature included in Atlas to maintain compliance on the max allowable increase and cumulative number of increases within a </w:t>
            </w:r>
            <w:r w:rsidR="009222B4" w:rsidRPr="0095723A">
              <w:rPr>
                <w:rFonts w:asciiTheme="majorHAnsi" w:hAnsiTheme="majorHAnsi" w:cstheme="majorHAnsi"/>
                <w:sz w:val="20"/>
                <w:szCs w:val="20"/>
              </w:rPr>
              <w:t>12-month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period.  </w:t>
            </w:r>
          </w:p>
        </w:tc>
        <w:tc>
          <w:tcPr>
            <w:tcW w:w="1710" w:type="dxa"/>
          </w:tcPr>
          <w:p w14:paraId="7FD13DE7" w14:textId="01F977B8" w:rsidR="00B00E66" w:rsidRPr="0095723A" w:rsidRDefault="00555B2C" w:rsidP="00B00E66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hyperlink r:id="rId9" w:history="1">
              <w:r w:rsidR="00B00E66" w:rsidRPr="0095723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</w:rPr>
                <w:t>AB1482 Reference Materials</w:t>
              </w:r>
            </w:hyperlink>
          </w:p>
          <w:p w14:paraId="4C1D3BCA" w14:textId="781DCC8E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E3BEF" w:rsidRPr="0095723A" w14:paraId="4D10876F" w14:textId="77777777" w:rsidTr="0095723A">
        <w:trPr>
          <w:trHeight w:val="2913"/>
        </w:trPr>
        <w:tc>
          <w:tcPr>
            <w:tcW w:w="1795" w:type="dxa"/>
          </w:tcPr>
          <w:p w14:paraId="3BC51EED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AB1110</w:t>
            </w:r>
          </w:p>
        </w:tc>
        <w:tc>
          <w:tcPr>
            <w:tcW w:w="2520" w:type="dxa"/>
          </w:tcPr>
          <w:p w14:paraId="14402D3D" w14:textId="09FCE545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Rent Increases</w:t>
            </w:r>
            <w:r w:rsidR="00C46F18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: Noticing. 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7B122B4" w14:textId="77777777" w:rsidR="00C46F18" w:rsidRPr="0095723A" w:rsidRDefault="00C46F18" w:rsidP="00B00E66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9FDFF"/>
              </w:rPr>
            </w:pPr>
          </w:p>
          <w:p w14:paraId="7898B784" w14:textId="75812B45" w:rsidR="004978BA" w:rsidRPr="0095723A" w:rsidRDefault="00C46F18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9FDFF"/>
              </w:rPr>
              <w:t>This bill requires 90 days' notice if a landlord of a residential dwelling with a month-to-month tenancy increases the</w:t>
            </w:r>
            <w:r w:rsidR="007C03AE"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9FDFF"/>
              </w:rPr>
              <w:t xml:space="preserve"> gross</w:t>
            </w: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9FDFF"/>
              </w:rPr>
              <w:t xml:space="preserve"> rent by more than 10% of the amount of the rent charged to a tenant annually.</w:t>
            </w:r>
          </w:p>
          <w:p w14:paraId="4D0717C2" w14:textId="77777777" w:rsidR="004978BA" w:rsidRPr="0095723A" w:rsidRDefault="004978BA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14270B" w14:textId="11F6B1EC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92ABF72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All California Communities Not Subject to AB1482 or AB1919</w:t>
            </w:r>
          </w:p>
          <w:p w14:paraId="47FF2200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(55 Communities)</w:t>
            </w:r>
          </w:p>
        </w:tc>
        <w:tc>
          <w:tcPr>
            <w:tcW w:w="1175" w:type="dxa"/>
          </w:tcPr>
          <w:p w14:paraId="21C82C93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Effective 1/1/2020</w:t>
            </w:r>
          </w:p>
        </w:tc>
        <w:tc>
          <w:tcPr>
            <w:tcW w:w="1975" w:type="dxa"/>
          </w:tcPr>
          <w:p w14:paraId="1762BD53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None - Pertains to MTM Only</w:t>
            </w:r>
          </w:p>
        </w:tc>
        <w:tc>
          <w:tcPr>
            <w:tcW w:w="1710" w:type="dxa"/>
          </w:tcPr>
          <w:p w14:paraId="4205DC4A" w14:textId="7B7919B8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MTM offers are capped at </w:t>
            </w:r>
            <w:r w:rsidR="007C03AE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10%</w:t>
            </w:r>
            <w:r w:rsidR="007C03AE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gross rent increase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for CA Communities not under AB1482 or AB1119. Notice period 35-55 days.</w:t>
            </w:r>
          </w:p>
        </w:tc>
        <w:tc>
          <w:tcPr>
            <w:tcW w:w="1710" w:type="dxa"/>
          </w:tcPr>
          <w:p w14:paraId="75E0D321" w14:textId="6689FF2E" w:rsidR="008855C0" w:rsidRPr="0095723A" w:rsidRDefault="00555B2C" w:rsidP="38393B79">
            <w:pPr>
              <w:ind w:right="-18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="002D54C2" w:rsidRPr="0095723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</w:rPr>
                <w:t xml:space="preserve">AB1110 Supplemental Materials </w:t>
              </w:r>
            </w:hyperlink>
            <w:r w:rsidR="002D54C2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E3BEF" w:rsidRPr="0095723A" w14:paraId="0E2D59D7" w14:textId="77777777" w:rsidTr="0095723A">
        <w:trPr>
          <w:trHeight w:val="1531"/>
        </w:trPr>
        <w:tc>
          <w:tcPr>
            <w:tcW w:w="1795" w:type="dxa"/>
          </w:tcPr>
          <w:p w14:paraId="0E287D47" w14:textId="77777777" w:rsidR="008855C0" w:rsidRPr="0095723A" w:rsidRDefault="008855C0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Ordinance No. 2021-20</w:t>
            </w:r>
          </w:p>
        </w:tc>
        <w:tc>
          <w:tcPr>
            <w:tcW w:w="2520" w:type="dxa"/>
          </w:tcPr>
          <w:p w14:paraId="425AB900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 temporary prohibition on certain evictions in Contra Costa County and a moratorium on rent increases for in place residents.</w:t>
            </w:r>
          </w:p>
        </w:tc>
        <w:tc>
          <w:tcPr>
            <w:tcW w:w="1980" w:type="dxa"/>
          </w:tcPr>
          <w:p w14:paraId="2D781549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All properties in Contra Costa County</w:t>
            </w:r>
          </w:p>
        </w:tc>
        <w:tc>
          <w:tcPr>
            <w:tcW w:w="1175" w:type="dxa"/>
          </w:tcPr>
          <w:p w14:paraId="72D554A7" w14:textId="622B70FF" w:rsidR="008855C0" w:rsidRPr="0095723A" w:rsidRDefault="3734C0FB" w:rsidP="38393B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Effective June 22, </w:t>
            </w:r>
            <w:r w:rsidR="0D1DEB1C" w:rsidRPr="0095723A">
              <w:rPr>
                <w:rFonts w:asciiTheme="majorHAnsi" w:hAnsiTheme="majorHAnsi" w:cstheme="majorHAnsi"/>
                <w:sz w:val="20"/>
                <w:szCs w:val="20"/>
              </w:rPr>
              <w:t>2021,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through TBD</w:t>
            </w:r>
          </w:p>
        </w:tc>
        <w:tc>
          <w:tcPr>
            <w:tcW w:w="1975" w:type="dxa"/>
          </w:tcPr>
          <w:p w14:paraId="7E2E3271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  <w:p w14:paraId="6018B5F2" w14:textId="77777777" w:rsidR="00EF7526" w:rsidRPr="0095723A" w:rsidRDefault="00EF752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D15030" w14:textId="77777777" w:rsidR="00EF7526" w:rsidRPr="0095723A" w:rsidRDefault="00EF752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645E45" w14:textId="77777777" w:rsidR="00EF7526" w:rsidRPr="0095723A" w:rsidRDefault="00EF752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B83180" w14:textId="77777777" w:rsidR="00EF7526" w:rsidRPr="0095723A" w:rsidRDefault="00EF752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1D8147" w14:textId="17928985" w:rsidR="00EF7526" w:rsidRPr="0095723A" w:rsidRDefault="00EF752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F56F4F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All renewals terms 1 through 12 are capped at the residents in place rent.</w:t>
            </w:r>
          </w:p>
        </w:tc>
        <w:tc>
          <w:tcPr>
            <w:tcW w:w="1710" w:type="dxa"/>
          </w:tcPr>
          <w:p w14:paraId="35BC26E8" w14:textId="77777777" w:rsidR="008855C0" w:rsidRPr="0095723A" w:rsidRDefault="008855C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E3BEF" w:rsidRPr="0095723A" w14:paraId="6D8F9155" w14:textId="77777777" w:rsidTr="0095723A">
        <w:trPr>
          <w:trHeight w:val="257"/>
        </w:trPr>
        <w:tc>
          <w:tcPr>
            <w:tcW w:w="1795" w:type="dxa"/>
          </w:tcPr>
          <w:p w14:paraId="29CE71A2" w14:textId="1019419A" w:rsidR="00984A12" w:rsidRPr="0095723A" w:rsidRDefault="00C46F18" w:rsidP="00B00E6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 County Rent Stabilization </w:t>
            </w:r>
            <w:r w:rsidR="00510EB1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rdinance</w:t>
            </w:r>
            <w:r w:rsidR="00E04A45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14:paraId="280D3591" w14:textId="14E0BDAF" w:rsidR="00E37AE1" w:rsidRPr="0095723A" w:rsidRDefault="00E37AE1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 max allowable</w:t>
            </w:r>
            <w:r w:rsidR="001C26A6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rent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26A6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increase on an annual basis as determined by average CPI. </w:t>
            </w:r>
          </w:p>
          <w:p w14:paraId="51E3ABC5" w14:textId="77777777" w:rsidR="00E37AE1" w:rsidRPr="0095723A" w:rsidRDefault="00E37AE1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621F25" w14:textId="1DCCB90B" w:rsidR="00E40E50" w:rsidRPr="0095723A" w:rsidRDefault="00E40E5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 temporary rent freeze on RSO buildings in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Unincorporated Los Angeles. </w:t>
            </w:r>
          </w:p>
          <w:p w14:paraId="6FEA138A" w14:textId="4F8B4EFD" w:rsidR="00E40E50" w:rsidRPr="0095723A" w:rsidRDefault="00E40E50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A4CA7F" w14:textId="41A44932" w:rsidR="00E37AE1" w:rsidRPr="0095723A" w:rsidRDefault="00E37AE1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Any property built before 2/1/95</w:t>
            </w:r>
            <w:r w:rsidR="007B35A4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in </w:t>
            </w:r>
            <w:r w:rsidR="00135980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unincorporated LA. </w:t>
            </w:r>
          </w:p>
          <w:p w14:paraId="6ACE4EED" w14:textId="77777777" w:rsidR="00E37AE1" w:rsidRPr="0095723A" w:rsidRDefault="00E37AE1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C951D" w14:textId="366EA2EF" w:rsidR="00E40E50" w:rsidRPr="0095723A" w:rsidRDefault="00725903" w:rsidP="00A07E3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The Promenade at Marina City club. </w:t>
            </w:r>
          </w:p>
        </w:tc>
        <w:tc>
          <w:tcPr>
            <w:tcW w:w="1175" w:type="dxa"/>
          </w:tcPr>
          <w:p w14:paraId="397ED419" w14:textId="77777777" w:rsidR="00984A12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RSO Program -</w:t>
            </w:r>
            <w:r w:rsidR="00E40E50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Effective 4/1/20.  </w:t>
            </w:r>
          </w:p>
          <w:p w14:paraId="5955E19D" w14:textId="77777777" w:rsidR="00C41666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F1364D" w14:textId="1C0FAEED" w:rsidR="00C41666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Rent Freeze: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3/4/20 – </w:t>
            </w:r>
            <w:r w:rsidR="00714B19" w:rsidRPr="0095723A">
              <w:rPr>
                <w:rFonts w:asciiTheme="majorHAnsi" w:hAnsiTheme="majorHAnsi" w:cstheme="majorHAnsi"/>
                <w:sz w:val="20"/>
                <w:szCs w:val="20"/>
              </w:rPr>
              <w:t>5/</w:t>
            </w:r>
            <w:r w:rsidR="00273E9D" w:rsidRPr="0095723A">
              <w:rPr>
                <w:rFonts w:asciiTheme="majorHAnsi" w:hAnsiTheme="majorHAnsi" w:cstheme="majorHAnsi"/>
                <w:sz w:val="20"/>
                <w:szCs w:val="20"/>
              </w:rPr>
              <w:t>31/22</w:t>
            </w:r>
            <w:r w:rsidR="00725903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26A6" w:rsidRPr="0095723A">
              <w:rPr>
                <w:rFonts w:asciiTheme="majorHAnsi" w:hAnsiTheme="majorHAnsi" w:cstheme="majorHAnsi"/>
                <w:sz w:val="20"/>
                <w:szCs w:val="20"/>
              </w:rPr>
              <w:t>(tentative)</w:t>
            </w:r>
          </w:p>
        </w:tc>
        <w:tc>
          <w:tcPr>
            <w:tcW w:w="1975" w:type="dxa"/>
          </w:tcPr>
          <w:p w14:paraId="62004B60" w14:textId="77777777" w:rsidR="00E40E50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No effect to new leases. </w:t>
            </w:r>
          </w:p>
          <w:p w14:paraId="2DBD0DBB" w14:textId="40588FB8" w:rsidR="004A27A5" w:rsidRPr="0095723A" w:rsidRDefault="004A27A5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20D9FD" w14:textId="087FD2AF" w:rsidR="00C41666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Subject to max allowable increase as determined by average CPI.   </w:t>
            </w:r>
          </w:p>
          <w:p w14:paraId="5A57B692" w14:textId="77777777" w:rsidR="00C41666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03DC06" w14:textId="77777777" w:rsidR="00C41666" w:rsidRPr="0095723A" w:rsidRDefault="00C41666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Subject to LA unincorporated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county rent freeze. </w:t>
            </w:r>
          </w:p>
          <w:p w14:paraId="48C47CAD" w14:textId="77777777" w:rsidR="00984A12" w:rsidRPr="0095723A" w:rsidRDefault="00984A12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B31F45" w14:textId="77777777" w:rsidR="00273E9D" w:rsidRPr="0095723A" w:rsidRDefault="00273E9D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6C4A85" w14:textId="77777777" w:rsidR="00273E9D" w:rsidRPr="0095723A" w:rsidRDefault="00273E9D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3A0A62" w14:textId="77777777" w:rsidR="00273E9D" w:rsidRPr="0095723A" w:rsidRDefault="00273E9D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9B1869" w14:textId="77777777" w:rsidR="00273E9D" w:rsidRPr="0095723A" w:rsidRDefault="00273E9D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EFC61A" w14:textId="661DE9C6" w:rsidR="00984A12" w:rsidRPr="0095723A" w:rsidRDefault="00555B2C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1E3AB2" w:rsidRPr="0095723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</w:rPr>
                <w:t xml:space="preserve">LA County RSO Ordinance </w:t>
              </w:r>
            </w:hyperlink>
            <w:r w:rsidR="00273E9D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E3BEF" w:rsidRPr="0095723A" w14:paraId="68D75CAD" w14:textId="77777777" w:rsidTr="0095723A">
        <w:trPr>
          <w:trHeight w:val="257"/>
        </w:trPr>
        <w:tc>
          <w:tcPr>
            <w:tcW w:w="1795" w:type="dxa"/>
          </w:tcPr>
          <w:p w14:paraId="04A49650" w14:textId="7B4FFE0E" w:rsidR="003727EC" w:rsidRPr="0095723A" w:rsidRDefault="00280083" w:rsidP="003727E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City of Los Angeles </w:t>
            </w:r>
            <w:r w:rsidR="003727EC"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Rent Stabilization Ordinance </w:t>
            </w:r>
          </w:p>
          <w:p w14:paraId="0A815501" w14:textId="77777777" w:rsidR="002E7117" w:rsidRPr="0095723A" w:rsidRDefault="002E7117" w:rsidP="002E71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A6BF43" w14:textId="116DDB1A" w:rsidR="002E7117" w:rsidRPr="0095723A" w:rsidRDefault="000A0061" w:rsidP="00F965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 max allowable rent increase on an annual basis as determined by </w:t>
            </w:r>
            <w:r w:rsidR="001A247A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Regional CPI, but not less 3% or greater than 8%. </w:t>
            </w:r>
          </w:p>
        </w:tc>
        <w:tc>
          <w:tcPr>
            <w:tcW w:w="1980" w:type="dxa"/>
          </w:tcPr>
          <w:p w14:paraId="72CE892D" w14:textId="612AF113" w:rsidR="002E7117" w:rsidRPr="0095723A" w:rsidRDefault="006D4BA4" w:rsidP="00B00E66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Properties in LA city built before </w:t>
            </w:r>
            <w:r w:rsidR="00135980"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10/1/7</w:t>
            </w: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8 or replacement units.</w:t>
            </w:r>
            <w:r w:rsidR="00C90941"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6F4F1A" w14:textId="143A7330" w:rsidR="0009010F" w:rsidRPr="0095723A" w:rsidRDefault="0009010F" w:rsidP="00B00E66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2161AAA4" w14:textId="5A6599EA" w:rsidR="0009010F" w:rsidRPr="0095723A" w:rsidRDefault="0009010F" w:rsidP="00A07E3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Skye at Bunker Hill.  </w:t>
            </w:r>
          </w:p>
          <w:p w14:paraId="06CE8A91" w14:textId="78970191" w:rsidR="0009010F" w:rsidRDefault="0009010F" w:rsidP="00A07E3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The Blake LA.  </w:t>
            </w:r>
          </w:p>
          <w:p w14:paraId="54240CB6" w14:textId="7364DAD1" w:rsidR="00E55751" w:rsidRPr="0095723A" w:rsidRDefault="00E55751" w:rsidP="00A07E3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Avondale at Warner Center</w:t>
            </w:r>
          </w:p>
          <w:p w14:paraId="5600E3FE" w14:textId="77777777" w:rsidR="0009010F" w:rsidRPr="0095723A" w:rsidRDefault="0009010F" w:rsidP="00B00E66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7E043425" w14:textId="0810425C" w:rsidR="00725903" w:rsidRPr="0095723A" w:rsidRDefault="00725903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251623C" w14:textId="3EE53016" w:rsidR="002E7117" w:rsidRPr="0095723A" w:rsidRDefault="003B0AAC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None.  </w:t>
            </w:r>
          </w:p>
        </w:tc>
        <w:tc>
          <w:tcPr>
            <w:tcW w:w="1975" w:type="dxa"/>
          </w:tcPr>
          <w:p w14:paraId="073255C4" w14:textId="3C748F4B" w:rsidR="002E7117" w:rsidRPr="0095723A" w:rsidRDefault="003B0AAC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3110FC00" w14:textId="11338813" w:rsidR="002E7117" w:rsidRPr="0095723A" w:rsidRDefault="003B0AAC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Renewals are capped</w:t>
            </w:r>
            <w:r w:rsidR="00C45B54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at 4%.  </w:t>
            </w:r>
          </w:p>
        </w:tc>
        <w:tc>
          <w:tcPr>
            <w:tcW w:w="1710" w:type="dxa"/>
          </w:tcPr>
          <w:p w14:paraId="73A05485" w14:textId="75836CDE" w:rsidR="002E7117" w:rsidRPr="0095723A" w:rsidRDefault="00555B2C" w:rsidP="00B00E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>
              <w:r w:rsidR="00985E9C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 xml:space="preserve">https://housing.lacity.org/residents/rso-overview </w:t>
              </w:r>
            </w:hyperlink>
          </w:p>
        </w:tc>
      </w:tr>
      <w:tr w:rsidR="001E3BEF" w:rsidRPr="0095723A" w14:paraId="40CBDC9F" w14:textId="77777777" w:rsidTr="0095723A">
        <w:trPr>
          <w:trHeight w:val="257"/>
        </w:trPr>
        <w:tc>
          <w:tcPr>
            <w:tcW w:w="1795" w:type="dxa"/>
          </w:tcPr>
          <w:p w14:paraId="39272E8A" w14:textId="7C4107DD" w:rsidR="001A247A" w:rsidRPr="0095723A" w:rsidRDefault="001A247A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Mountain View Rent Stabilization Ordinance </w:t>
            </w:r>
          </w:p>
          <w:p w14:paraId="16D2105E" w14:textId="77777777" w:rsidR="001A247A" w:rsidRPr="0095723A" w:rsidRDefault="001A247A" w:rsidP="001A247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CAADEF" w14:textId="134653F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 max allowable rent increase on an annual basis as determined by </w:t>
            </w:r>
            <w:r w:rsidR="0079699A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>100% of CPI for SF-Oak-SJ region, except that the amount cannot be less than 2% or more than 5%</w:t>
            </w:r>
            <w:r w:rsidR="00294018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</w:tcPr>
          <w:p w14:paraId="0961280B" w14:textId="422C6EC8" w:rsidR="00A07FE1" w:rsidRPr="0095723A" w:rsidRDefault="00123AC9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Properties in Mountain view built </w:t>
            </w:r>
            <w:r w:rsidR="00647660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before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2/1/95.</w:t>
            </w:r>
          </w:p>
          <w:p w14:paraId="617F5DBF" w14:textId="76B1BD73" w:rsidR="001A247A" w:rsidRPr="0095723A" w:rsidRDefault="00A07FE1" w:rsidP="00A07E3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Regency at Mountain View.</w:t>
            </w:r>
            <w:r w:rsidR="00123AC9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1175" w:type="dxa"/>
          </w:tcPr>
          <w:p w14:paraId="5916FBFC" w14:textId="7D989846" w:rsidR="00315212" w:rsidRPr="0095723A" w:rsidRDefault="00315212" w:rsidP="003152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RSO Program -Effective 2016.  </w:t>
            </w:r>
          </w:p>
          <w:p w14:paraId="6E3C63DE" w14:textId="1BE1ED38" w:rsidR="00315212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DD022AD" w14:textId="1D372E88" w:rsidR="001A247A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54CF1765" w14:textId="263533EE" w:rsidR="001A247A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</w:t>
            </w:r>
            <w:r w:rsidR="005A7C94" w:rsidRPr="0095723A">
              <w:rPr>
                <w:rFonts w:asciiTheme="majorHAnsi" w:hAnsiTheme="majorHAnsi" w:cstheme="majorHAnsi"/>
                <w:sz w:val="20"/>
                <w:szCs w:val="20"/>
              </w:rPr>
              <w:t>3.5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%.  </w:t>
            </w:r>
          </w:p>
        </w:tc>
        <w:tc>
          <w:tcPr>
            <w:tcW w:w="1710" w:type="dxa"/>
          </w:tcPr>
          <w:p w14:paraId="27C161A6" w14:textId="5600172A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>
              <w:r w:rsidR="00C3683C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 xml:space="preserve">https://www.mountainview.gov/depts/comdev/preservation/rentstabilization/default.asp </w:t>
              </w:r>
            </w:hyperlink>
          </w:p>
        </w:tc>
      </w:tr>
      <w:tr w:rsidR="001E3BEF" w:rsidRPr="0095723A" w14:paraId="0DCD5C57" w14:textId="77777777" w:rsidTr="0095723A">
        <w:trPr>
          <w:trHeight w:val="257"/>
        </w:trPr>
        <w:tc>
          <w:tcPr>
            <w:tcW w:w="1795" w:type="dxa"/>
          </w:tcPr>
          <w:p w14:paraId="2F3135CE" w14:textId="6B6E5BF6" w:rsidR="001A247A" w:rsidRPr="0095723A" w:rsidRDefault="001A247A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San Francisco Rent Stabilization Ordinance </w:t>
            </w:r>
          </w:p>
          <w:p w14:paraId="604A6A14" w14:textId="77777777" w:rsidR="001A247A" w:rsidRPr="0095723A" w:rsidRDefault="001A247A" w:rsidP="001A247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D45A5C" w14:textId="2146157E" w:rsidR="001A247A" w:rsidRPr="0095723A" w:rsidRDefault="0079699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 max allowable rent increase on an annual basis as determined by</w:t>
            </w:r>
            <w:r w:rsidR="00CA00BA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A00BA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60% of regional CPI. </w:t>
            </w:r>
          </w:p>
        </w:tc>
        <w:tc>
          <w:tcPr>
            <w:tcW w:w="1980" w:type="dxa"/>
          </w:tcPr>
          <w:p w14:paraId="28CAE6FD" w14:textId="64A13369" w:rsidR="00291305" w:rsidRPr="0095723A" w:rsidRDefault="003F5F5C" w:rsidP="00BB1C9B">
            <w:pPr>
              <w:tabs>
                <w:tab w:val="left" w:pos="120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Properties in</w:t>
            </w:r>
            <w:r w:rsidR="00647660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San Francisco built before 6/13/79. </w:t>
            </w:r>
          </w:p>
          <w:p w14:paraId="24D1CD2D" w14:textId="1FB8F1DE" w:rsidR="00A07E3B" w:rsidRPr="0095723A" w:rsidRDefault="00A07E3B" w:rsidP="00A07E3B">
            <w:pPr>
              <w:pStyle w:val="ListParagraph"/>
              <w:numPr>
                <w:ilvl w:val="0"/>
                <w:numId w:val="21"/>
              </w:numPr>
              <w:tabs>
                <w:tab w:val="left" w:pos="120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Fox Plaza Apartments </w:t>
            </w:r>
          </w:p>
          <w:p w14:paraId="122D1CC9" w14:textId="66CD3B57" w:rsidR="00A07E3B" w:rsidRPr="0095723A" w:rsidRDefault="00A07E3B" w:rsidP="00A07E3B">
            <w:pPr>
              <w:pStyle w:val="ListParagraph"/>
              <w:numPr>
                <w:ilvl w:val="0"/>
                <w:numId w:val="21"/>
              </w:numPr>
              <w:tabs>
                <w:tab w:val="left" w:pos="120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Park West </w:t>
            </w:r>
          </w:p>
          <w:p w14:paraId="6A9B2DC5" w14:textId="2E844EDA" w:rsidR="00A07E3B" w:rsidRPr="0095723A" w:rsidRDefault="00A07E3B" w:rsidP="00BB1C9B">
            <w:pPr>
              <w:tabs>
                <w:tab w:val="left" w:pos="120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BD7F807" w14:textId="715D8018" w:rsidR="003A23BB" w:rsidRPr="0095723A" w:rsidRDefault="003A23BB" w:rsidP="003A2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RSO Program -Effective 1979.  </w:t>
            </w:r>
          </w:p>
          <w:p w14:paraId="5E37E12A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0C5F91A" w14:textId="6900EBC6" w:rsidR="001A247A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71F76445" w14:textId="77777777" w:rsidR="005A7C94" w:rsidRPr="0095723A" w:rsidRDefault="005A7C94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2.6%. </w:t>
            </w:r>
          </w:p>
          <w:p w14:paraId="65F2230D" w14:textId="3ACEB0AA" w:rsidR="001A247A" w:rsidRPr="0095723A" w:rsidRDefault="005A7C94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14:paraId="153783F0" w14:textId="1B6D45D7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>
              <w:r w:rsidR="00637518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 xml:space="preserve">https://sfrb.org/home </w:t>
              </w:r>
            </w:hyperlink>
          </w:p>
        </w:tc>
      </w:tr>
      <w:tr w:rsidR="001E3BEF" w:rsidRPr="0095723A" w14:paraId="095AFD78" w14:textId="77777777" w:rsidTr="0095723A">
        <w:trPr>
          <w:trHeight w:val="257"/>
        </w:trPr>
        <w:tc>
          <w:tcPr>
            <w:tcW w:w="1795" w:type="dxa"/>
          </w:tcPr>
          <w:p w14:paraId="356F6F5C" w14:textId="18A9A596" w:rsidR="001A247A" w:rsidRPr="0095723A" w:rsidRDefault="001A247A" w:rsidP="001A247A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San Jose Rent Stabilization Ordinance</w:t>
            </w:r>
          </w:p>
        </w:tc>
        <w:tc>
          <w:tcPr>
            <w:tcW w:w="2520" w:type="dxa"/>
          </w:tcPr>
          <w:p w14:paraId="0F0FE614" w14:textId="4C223774" w:rsidR="001A247A" w:rsidRPr="0095723A" w:rsidRDefault="00CB5C9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A max allowable rent increase on an annual basis </w:t>
            </w:r>
            <w:r w:rsidR="00C07385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of 5%. </w:t>
            </w:r>
          </w:p>
        </w:tc>
        <w:tc>
          <w:tcPr>
            <w:tcW w:w="1980" w:type="dxa"/>
          </w:tcPr>
          <w:p w14:paraId="50C192D8" w14:textId="3019C9CF" w:rsidR="001A247A" w:rsidRDefault="003F5F5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Properties in</w:t>
            </w:r>
            <w:r w:rsidR="00647660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San Francisco built before </w:t>
            </w:r>
            <w:r w:rsidR="003A23BB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9/7/79. </w:t>
            </w:r>
          </w:p>
          <w:p w14:paraId="18B43FCE" w14:textId="4E7CA3B4" w:rsidR="0095723A" w:rsidRPr="0095723A" w:rsidRDefault="0095723A" w:rsidP="0095723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Sage at Cupertino</w:t>
            </w:r>
          </w:p>
          <w:p w14:paraId="6FFA55F2" w14:textId="30949FC2" w:rsidR="00A07E3B" w:rsidRPr="0095723A" w:rsidRDefault="00A07E3B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0E4A527" w14:textId="15B61E67" w:rsidR="003A23BB" w:rsidRPr="0095723A" w:rsidRDefault="003A23BB" w:rsidP="003A2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RSO Program -Effective 1985. </w:t>
            </w:r>
          </w:p>
          <w:p w14:paraId="71C00618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EB6B72F" w14:textId="6361F8FF" w:rsidR="001A247A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44D99B53" w14:textId="7A1167C0" w:rsidR="005A7C94" w:rsidRPr="0095723A" w:rsidRDefault="005A7C94" w:rsidP="005A7C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5%. </w:t>
            </w:r>
          </w:p>
          <w:p w14:paraId="729E78A3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86FB14" w14:textId="6F6EEB3A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5">
              <w:r w:rsidR="00D46AFE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 xml:space="preserve">https://www.sanjoseca.gov/your-government/departments/housing/renters-apartment-owners/apartment-rent-ordinance </w:t>
              </w:r>
            </w:hyperlink>
          </w:p>
        </w:tc>
      </w:tr>
      <w:tr w:rsidR="001E3BEF" w:rsidRPr="0095723A" w14:paraId="36A958E9" w14:textId="77777777" w:rsidTr="0095723A">
        <w:trPr>
          <w:trHeight w:val="257"/>
        </w:trPr>
        <w:tc>
          <w:tcPr>
            <w:tcW w:w="1795" w:type="dxa"/>
          </w:tcPr>
          <w:p w14:paraId="0DE9F93B" w14:textId="77777777" w:rsidR="001A247A" w:rsidRPr="0095723A" w:rsidRDefault="001A247A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Hayward County Rent Stabilization Ordinance </w:t>
            </w:r>
          </w:p>
          <w:p w14:paraId="2B791B2A" w14:textId="77777777" w:rsidR="001A247A" w:rsidRPr="0095723A" w:rsidRDefault="001A247A" w:rsidP="001A24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13E988" w14:textId="77203CE3" w:rsidR="001A247A" w:rsidRPr="0095723A" w:rsidRDefault="00C721E0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 max allowable rent increase on an annual basis of 5%.</w:t>
            </w:r>
          </w:p>
        </w:tc>
        <w:tc>
          <w:tcPr>
            <w:tcW w:w="1980" w:type="dxa"/>
          </w:tcPr>
          <w:p w14:paraId="70E7D855" w14:textId="77777777" w:rsidR="001A247A" w:rsidRPr="0095723A" w:rsidRDefault="003F5F5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Properties in</w:t>
            </w:r>
          </w:p>
          <w:p w14:paraId="5B76BC76" w14:textId="77777777" w:rsidR="003F5F5C" w:rsidRPr="0095723A" w:rsidRDefault="003F5F5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Hayward</w:t>
            </w:r>
            <w:r w:rsidR="005D420A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built before 7/1/79. </w:t>
            </w:r>
          </w:p>
          <w:p w14:paraId="76F2E6FC" w14:textId="38CB2E1A" w:rsidR="00684FDD" w:rsidRPr="0095723A" w:rsidRDefault="00684FDD" w:rsidP="00684FD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City View Apartments </w:t>
            </w:r>
          </w:p>
        </w:tc>
        <w:tc>
          <w:tcPr>
            <w:tcW w:w="1175" w:type="dxa"/>
          </w:tcPr>
          <w:p w14:paraId="05DBB0BE" w14:textId="31B39908" w:rsidR="003A23BB" w:rsidRPr="0095723A" w:rsidRDefault="003A23BB" w:rsidP="003A2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RSO Program -Effective 1983. </w:t>
            </w:r>
          </w:p>
          <w:p w14:paraId="5F9456EB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8D75B7F" w14:textId="409A4852" w:rsidR="001A247A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4A63E942" w14:textId="77777777" w:rsidR="005A7C94" w:rsidRPr="0095723A" w:rsidRDefault="005A7C94" w:rsidP="005A7C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5%. </w:t>
            </w:r>
          </w:p>
          <w:p w14:paraId="58DE0714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C27257" w14:textId="4DA9346C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6">
              <w:r w:rsidR="002E53F9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>https://www.hayward-ca.gov/your-government/programs/residential-rent-stabilization</w:t>
              </w:r>
            </w:hyperlink>
          </w:p>
        </w:tc>
      </w:tr>
      <w:tr w:rsidR="001E3BEF" w:rsidRPr="0095723A" w14:paraId="0C16A21E" w14:textId="77777777" w:rsidTr="0095723A">
        <w:trPr>
          <w:trHeight w:val="257"/>
        </w:trPr>
        <w:tc>
          <w:tcPr>
            <w:tcW w:w="1795" w:type="dxa"/>
          </w:tcPr>
          <w:p w14:paraId="6B6CD2BA" w14:textId="70D260C2" w:rsidR="00C721E0" w:rsidRPr="0095723A" w:rsidRDefault="00BB3BC0" w:rsidP="001A247A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Santa Ana </w:t>
            </w:r>
            <w:r w:rsidR="002F5B4B" w:rsidRPr="0095723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Rent Stabilization Ordinance</w:t>
            </w:r>
          </w:p>
        </w:tc>
        <w:tc>
          <w:tcPr>
            <w:tcW w:w="2520" w:type="dxa"/>
          </w:tcPr>
          <w:p w14:paraId="48DD1A1D" w14:textId="1C2F7D13" w:rsidR="00C721E0" w:rsidRPr="0095723A" w:rsidRDefault="00B1030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 max allowable rent increase on an annual basis as determined by</w:t>
            </w:r>
            <w:r w:rsidR="009619EF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619EF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lower of </w:t>
            </w:r>
            <w:r w:rsidR="009619EF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3% per year or 80% of the percent change in CPI over the previous 12 months.</w:t>
            </w:r>
          </w:p>
        </w:tc>
        <w:tc>
          <w:tcPr>
            <w:tcW w:w="1980" w:type="dxa"/>
          </w:tcPr>
          <w:p w14:paraId="08B24C2A" w14:textId="77777777" w:rsidR="00C721E0" w:rsidRPr="0095723A" w:rsidRDefault="003F5F5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Properties in </w:t>
            </w:r>
            <w:r w:rsidR="009619EF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Santa Ana </w:t>
            </w:r>
            <w:r w:rsidR="00EE53D2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built </w:t>
            </w:r>
            <w:r w:rsidR="00647660" w:rsidRPr="0095723A">
              <w:rPr>
                <w:rFonts w:asciiTheme="majorHAnsi" w:hAnsiTheme="majorHAnsi" w:cstheme="majorHAnsi"/>
                <w:sz w:val="20"/>
                <w:szCs w:val="20"/>
              </w:rPr>
              <w:t>before</w:t>
            </w:r>
            <w:r w:rsidR="00EE53D2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2/1/95.  </w:t>
            </w:r>
          </w:p>
          <w:p w14:paraId="0FC2232D" w14:textId="77777777" w:rsidR="0095723A" w:rsidRPr="0095723A" w:rsidRDefault="0095723A" w:rsidP="009572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Parkside Court </w:t>
            </w:r>
          </w:p>
          <w:p w14:paraId="653F9DC7" w14:textId="4C2DBF4C" w:rsidR="0095723A" w:rsidRPr="0095723A" w:rsidRDefault="0095723A" w:rsidP="009572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Fairhaven Apartment Homes</w:t>
            </w:r>
          </w:p>
        </w:tc>
        <w:tc>
          <w:tcPr>
            <w:tcW w:w="1175" w:type="dxa"/>
          </w:tcPr>
          <w:p w14:paraId="29C5FC87" w14:textId="3C5AE066" w:rsidR="00765ABA" w:rsidRPr="0095723A" w:rsidRDefault="00765ABA" w:rsidP="00765A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RSO Program -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Effective 2021. </w:t>
            </w:r>
          </w:p>
          <w:p w14:paraId="5494D3ED" w14:textId="77777777" w:rsidR="00C721E0" w:rsidRPr="0095723A" w:rsidRDefault="00C721E0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C9315DE" w14:textId="79D54B07" w:rsidR="00C721E0" w:rsidRPr="0095723A" w:rsidRDefault="00315212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No effect to new leases.</w:t>
            </w:r>
          </w:p>
        </w:tc>
        <w:tc>
          <w:tcPr>
            <w:tcW w:w="1710" w:type="dxa"/>
          </w:tcPr>
          <w:p w14:paraId="076DB91C" w14:textId="277A5AD9" w:rsidR="0066593C" w:rsidRPr="0095723A" w:rsidRDefault="0066593C" w:rsidP="006659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</w:t>
            </w:r>
            <w:r w:rsidR="00C2085E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Lower </w:t>
            </w:r>
            <w:r w:rsidR="00C2085E" w:rsidRPr="0095723A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of 3% or 80% of CPI. 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1BADFA1" w14:textId="77777777" w:rsidR="00C721E0" w:rsidRPr="0095723A" w:rsidRDefault="00C721E0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22189A" w14:textId="5202C339" w:rsidR="00C721E0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7">
              <w:r w:rsidR="00B303CC" w:rsidRPr="0095723A">
                <w:rPr>
                  <w:rStyle w:val="Hyperlink"/>
                  <w:rFonts w:asciiTheme="majorHAnsi" w:eastAsia="Calibri" w:hAnsiTheme="majorHAnsi" w:cstheme="majorHAnsi"/>
                  <w:color w:val="auto"/>
                  <w:sz w:val="20"/>
                  <w:szCs w:val="20"/>
                </w:rPr>
                <w:t>https://www.santa-ana.org/rso</w:t>
              </w:r>
            </w:hyperlink>
          </w:p>
        </w:tc>
      </w:tr>
      <w:tr w:rsidR="001D3C05" w:rsidRPr="0095723A" w14:paraId="3E560578" w14:textId="77777777" w:rsidTr="0095723A">
        <w:trPr>
          <w:trHeight w:val="257"/>
        </w:trPr>
        <w:tc>
          <w:tcPr>
            <w:tcW w:w="1795" w:type="dxa"/>
          </w:tcPr>
          <w:p w14:paraId="2FFD9DDF" w14:textId="116F5358" w:rsidR="001D3C05" w:rsidRPr="0095723A" w:rsidRDefault="001D3C05" w:rsidP="001A247A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City of Glendale Rent Ordinance  </w:t>
            </w:r>
          </w:p>
        </w:tc>
        <w:tc>
          <w:tcPr>
            <w:tcW w:w="2520" w:type="dxa"/>
          </w:tcPr>
          <w:p w14:paraId="2F9E4F47" w14:textId="3E155EA9" w:rsidR="001D3C05" w:rsidRPr="003164D6" w:rsidRDefault="003164D6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64D6">
              <w:rPr>
                <w:rFonts w:asciiTheme="majorHAnsi" w:hAnsiTheme="majorHAnsi" w:cstheme="majorHAnsi"/>
                <w:color w:val="4C4C4C"/>
                <w:sz w:val="20"/>
                <w:szCs w:val="20"/>
                <w:shd w:val="clear" w:color="auto" w:fill="FFFFFF"/>
              </w:rPr>
              <w:t>Glendale tenants forced out of their homes due to significant rent increases are entitled to relocation assistance where the rent increase is above 7%. </w:t>
            </w:r>
          </w:p>
        </w:tc>
        <w:tc>
          <w:tcPr>
            <w:tcW w:w="1980" w:type="dxa"/>
          </w:tcPr>
          <w:p w14:paraId="223B0CCA" w14:textId="51045E8B" w:rsidR="003164D6" w:rsidRDefault="003164D6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Properties built before 2/1/95.  </w:t>
            </w:r>
          </w:p>
          <w:p w14:paraId="4BBD54F3" w14:textId="77777777" w:rsidR="003164D6" w:rsidRDefault="003164D6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41368" w14:textId="4E6675AD" w:rsidR="001D3C05" w:rsidRPr="003164D6" w:rsidRDefault="003164D6" w:rsidP="003164D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164D6">
              <w:rPr>
                <w:rFonts w:asciiTheme="majorHAnsi" w:hAnsiTheme="majorHAnsi" w:cstheme="majorHAnsi"/>
                <w:sz w:val="20"/>
                <w:szCs w:val="20"/>
              </w:rPr>
              <w:t xml:space="preserve">The Henley </w:t>
            </w:r>
          </w:p>
        </w:tc>
        <w:tc>
          <w:tcPr>
            <w:tcW w:w="1175" w:type="dxa"/>
          </w:tcPr>
          <w:p w14:paraId="1F797AF6" w14:textId="764E8411" w:rsidR="001D3C05" w:rsidRPr="0095723A" w:rsidRDefault="00555B2C" w:rsidP="00765A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Effective 2018.  </w:t>
            </w:r>
          </w:p>
        </w:tc>
        <w:tc>
          <w:tcPr>
            <w:tcW w:w="1975" w:type="dxa"/>
          </w:tcPr>
          <w:p w14:paraId="126F04B7" w14:textId="6C88CCE3" w:rsidR="001D3C05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No effect to new leases.  </w:t>
            </w:r>
          </w:p>
        </w:tc>
        <w:tc>
          <w:tcPr>
            <w:tcW w:w="1710" w:type="dxa"/>
          </w:tcPr>
          <w:p w14:paraId="48148FAF" w14:textId="48834295" w:rsidR="001D3C05" w:rsidRPr="0095723A" w:rsidRDefault="00555B2C" w:rsidP="006659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Renewals are capped at a 7% increase. </w:t>
            </w:r>
          </w:p>
        </w:tc>
        <w:tc>
          <w:tcPr>
            <w:tcW w:w="1710" w:type="dxa"/>
          </w:tcPr>
          <w:p w14:paraId="57D9170C" w14:textId="77777777" w:rsidR="001D3C05" w:rsidRPr="0095723A" w:rsidRDefault="001D3C05" w:rsidP="001A247A">
            <w:pPr>
              <w:rPr>
                <w:sz w:val="20"/>
                <w:szCs w:val="20"/>
              </w:rPr>
            </w:pPr>
          </w:p>
        </w:tc>
      </w:tr>
      <w:tr w:rsidR="001E3BEF" w:rsidRPr="0095723A" w14:paraId="5CBD0B67" w14:textId="77777777" w:rsidTr="0095723A">
        <w:trPr>
          <w:trHeight w:val="257"/>
        </w:trPr>
        <w:tc>
          <w:tcPr>
            <w:tcW w:w="1795" w:type="dxa"/>
          </w:tcPr>
          <w:p w14:paraId="0FC5A38C" w14:textId="78EB7B98" w:rsidR="001A247A" w:rsidRPr="0095723A" w:rsidRDefault="00555B2C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hyperlink r:id="rId18" w:tgtFrame="_blank" w:history="1">
              <w:r w:rsidR="001A247A" w:rsidRPr="0095723A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Council Bill 119985 </w:t>
              </w:r>
            </w:hyperlink>
            <w:r w:rsidR="001A247A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(Seattle)</w:t>
            </w:r>
          </w:p>
        </w:tc>
        <w:tc>
          <w:tcPr>
            <w:tcW w:w="2520" w:type="dxa"/>
          </w:tcPr>
          <w:p w14:paraId="2C1FE436" w14:textId="23F29B89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This legislation increases the minimum prior written notice that landlords in Seattle must give tenants before increasing their rent from 60 days to 180 days. </w:t>
            </w:r>
          </w:p>
        </w:tc>
        <w:tc>
          <w:tcPr>
            <w:tcW w:w="1980" w:type="dxa"/>
          </w:tcPr>
          <w:p w14:paraId="5E82C7DA" w14:textId="03C951A6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Seattle communities </w:t>
            </w:r>
          </w:p>
        </w:tc>
        <w:tc>
          <w:tcPr>
            <w:tcW w:w="1175" w:type="dxa"/>
          </w:tcPr>
          <w:p w14:paraId="5A39E709" w14:textId="1CE0F2D1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Currently not signed into law by mayor. </w:t>
            </w:r>
          </w:p>
        </w:tc>
        <w:tc>
          <w:tcPr>
            <w:tcW w:w="1975" w:type="dxa"/>
          </w:tcPr>
          <w:p w14:paraId="7A61333C" w14:textId="2E85D1B8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7DF7855F" w14:textId="00602C15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Provide renewals 180 days prior to the month the leases are expiring.  </w:t>
            </w:r>
          </w:p>
        </w:tc>
        <w:tc>
          <w:tcPr>
            <w:tcW w:w="1710" w:type="dxa"/>
          </w:tcPr>
          <w:p w14:paraId="1BC48207" w14:textId="68CFB0DB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9" w:history="1">
              <w:r w:rsidR="001A247A" w:rsidRPr="0095723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</w:rPr>
                <w:t>PNW LAWS</w:t>
              </w:r>
            </w:hyperlink>
            <w:r w:rsidR="001A247A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E3BEF" w:rsidRPr="0095723A" w14:paraId="2C6D0D2F" w14:textId="77777777" w:rsidTr="0095723A">
        <w:trPr>
          <w:trHeight w:val="257"/>
        </w:trPr>
        <w:tc>
          <w:tcPr>
            <w:tcW w:w="1795" w:type="dxa"/>
          </w:tcPr>
          <w:p w14:paraId="318876E2" w14:textId="239A0762" w:rsidR="001A247A" w:rsidRPr="0095723A" w:rsidRDefault="00555B2C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hyperlink r:id="rId20" w:tgtFrame="_blank" w:history="1">
              <w:r w:rsidR="001A247A" w:rsidRPr="0095723A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Council Bill 120173</w:t>
              </w:r>
            </w:hyperlink>
            <w:r w:rsidR="001A247A"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(Seattle)</w:t>
            </w:r>
          </w:p>
        </w:tc>
        <w:tc>
          <w:tcPr>
            <w:tcW w:w="2520" w:type="dxa"/>
          </w:tcPr>
          <w:p w14:paraId="5B459929" w14:textId="3CF80914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When they leave their current housing unit because the rent will increase ten percent or more. A landlord would be required to pay three times the amount of monthly housing costs per household for each moving household.</w:t>
            </w:r>
          </w:p>
        </w:tc>
        <w:tc>
          <w:tcPr>
            <w:tcW w:w="1980" w:type="dxa"/>
          </w:tcPr>
          <w:p w14:paraId="1811AAAA" w14:textId="0E8CF89E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Seattle communities</w:t>
            </w:r>
          </w:p>
        </w:tc>
        <w:tc>
          <w:tcPr>
            <w:tcW w:w="1175" w:type="dxa"/>
          </w:tcPr>
          <w:p w14:paraId="78CCFD64" w14:textId="4DE624C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Currently not signed into law by mayor.</w:t>
            </w:r>
          </w:p>
        </w:tc>
        <w:tc>
          <w:tcPr>
            <w:tcW w:w="1975" w:type="dxa"/>
          </w:tcPr>
          <w:p w14:paraId="6B21EA06" w14:textId="5ECB4633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No effect to new leases.</w:t>
            </w:r>
          </w:p>
        </w:tc>
        <w:tc>
          <w:tcPr>
            <w:tcW w:w="1710" w:type="dxa"/>
          </w:tcPr>
          <w:p w14:paraId="0F1BDC66" w14:textId="1799B4EA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Provide renewals 180 days prior to the month the leases are expiring.  </w:t>
            </w:r>
          </w:p>
        </w:tc>
        <w:tc>
          <w:tcPr>
            <w:tcW w:w="1710" w:type="dxa"/>
          </w:tcPr>
          <w:p w14:paraId="3AE2DE0B" w14:textId="4D8FF4E5" w:rsidR="001A247A" w:rsidRPr="0095723A" w:rsidRDefault="00555B2C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21" w:history="1">
              <w:r w:rsidR="001A247A" w:rsidRPr="0095723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</w:rPr>
                <w:t>PNW LAWS</w:t>
              </w:r>
            </w:hyperlink>
            <w:r w:rsidR="001A247A"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E3BEF" w:rsidRPr="0095723A" w14:paraId="7989A631" w14:textId="77777777" w:rsidTr="0095723A">
        <w:trPr>
          <w:trHeight w:val="257"/>
        </w:trPr>
        <w:tc>
          <w:tcPr>
            <w:tcW w:w="1795" w:type="dxa"/>
          </w:tcPr>
          <w:p w14:paraId="7F48AC33" w14:textId="0345D649" w:rsidR="001A247A" w:rsidRPr="0095723A" w:rsidRDefault="001A247A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SF City Ordinance </w:t>
            </w:r>
          </w:p>
        </w:tc>
        <w:tc>
          <w:tcPr>
            <w:tcW w:w="2520" w:type="dxa"/>
          </w:tcPr>
          <w:p w14:paraId="22032B26" w14:textId="386A96DE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Ban on leasing corporate units.  </w:t>
            </w:r>
          </w:p>
        </w:tc>
        <w:tc>
          <w:tcPr>
            <w:tcW w:w="1980" w:type="dxa"/>
          </w:tcPr>
          <w:p w14:paraId="6E9B05C7" w14:textId="72241589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San Francisco </w:t>
            </w:r>
          </w:p>
        </w:tc>
        <w:tc>
          <w:tcPr>
            <w:tcW w:w="1175" w:type="dxa"/>
          </w:tcPr>
          <w:p w14:paraId="4C398D3E" w14:textId="07ECCCE0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April 1</w:t>
            </w:r>
            <w:r w:rsidRPr="0095723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 2020</w:t>
            </w:r>
          </w:p>
        </w:tc>
        <w:tc>
          <w:tcPr>
            <w:tcW w:w="1975" w:type="dxa"/>
          </w:tcPr>
          <w:p w14:paraId="56EC575E" w14:textId="0EB83844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Ban on corporate leases in San Francisco. </w:t>
            </w:r>
          </w:p>
        </w:tc>
        <w:tc>
          <w:tcPr>
            <w:tcW w:w="1710" w:type="dxa"/>
          </w:tcPr>
          <w:p w14:paraId="43E094CE" w14:textId="6BA887F5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We are not renewing corporate leases. </w:t>
            </w:r>
          </w:p>
        </w:tc>
        <w:tc>
          <w:tcPr>
            <w:tcW w:w="1710" w:type="dxa"/>
          </w:tcPr>
          <w:p w14:paraId="19B96CA5" w14:textId="66983338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(Information provided soon)</w:t>
            </w:r>
          </w:p>
        </w:tc>
      </w:tr>
      <w:tr w:rsidR="001E3BEF" w:rsidRPr="0095723A" w14:paraId="3F5A79C7" w14:textId="77777777" w:rsidTr="0095723A">
        <w:trPr>
          <w:trHeight w:val="257"/>
        </w:trPr>
        <w:tc>
          <w:tcPr>
            <w:tcW w:w="1795" w:type="dxa"/>
          </w:tcPr>
          <w:p w14:paraId="28B61195" w14:textId="0675D60D" w:rsidR="001A247A" w:rsidRPr="0095723A" w:rsidRDefault="001A247A" w:rsidP="001A24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SF City Ordinance </w:t>
            </w:r>
          </w:p>
        </w:tc>
        <w:tc>
          <w:tcPr>
            <w:tcW w:w="2520" w:type="dxa"/>
          </w:tcPr>
          <w:p w14:paraId="6BCD5CBA" w14:textId="17EDAE24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No short-term leases </w:t>
            </w:r>
          </w:p>
        </w:tc>
        <w:tc>
          <w:tcPr>
            <w:tcW w:w="1980" w:type="dxa"/>
          </w:tcPr>
          <w:p w14:paraId="406B3ABA" w14:textId="1DBB2176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San Francisco</w:t>
            </w:r>
          </w:p>
        </w:tc>
        <w:tc>
          <w:tcPr>
            <w:tcW w:w="1175" w:type="dxa"/>
          </w:tcPr>
          <w:p w14:paraId="6CB8CA0F" w14:textId="77777777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82C8F26" w14:textId="4A716330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No leases less than 12 month terms. Must apply for an exemption to avoid. Tenants can apply for a 12 month term and pay a lease break fee.  </w:t>
            </w:r>
          </w:p>
        </w:tc>
        <w:tc>
          <w:tcPr>
            <w:tcW w:w="1710" w:type="dxa"/>
          </w:tcPr>
          <w:p w14:paraId="307C5549" w14:textId="2D397D91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 xml:space="preserve">Only applies to new leases. </w:t>
            </w:r>
          </w:p>
        </w:tc>
        <w:tc>
          <w:tcPr>
            <w:tcW w:w="1710" w:type="dxa"/>
          </w:tcPr>
          <w:p w14:paraId="2CE09901" w14:textId="77421A09" w:rsidR="001A247A" w:rsidRPr="0095723A" w:rsidRDefault="001A247A" w:rsidP="001A2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23A">
              <w:rPr>
                <w:rFonts w:asciiTheme="majorHAnsi" w:hAnsiTheme="majorHAnsi" w:cstheme="majorHAnsi"/>
                <w:sz w:val="20"/>
                <w:szCs w:val="20"/>
              </w:rPr>
              <w:t>(Information provided soon)</w:t>
            </w:r>
          </w:p>
        </w:tc>
      </w:tr>
    </w:tbl>
    <w:p w14:paraId="21A4CDB9" w14:textId="7ECB3A9A" w:rsidR="00BF7F0A" w:rsidRPr="0095723A" w:rsidRDefault="00BF7F0A" w:rsidP="00B00E66">
      <w:pPr>
        <w:rPr>
          <w:rFonts w:asciiTheme="majorHAnsi" w:hAnsiTheme="majorHAnsi" w:cstheme="majorHAnsi"/>
          <w:sz w:val="20"/>
          <w:szCs w:val="20"/>
        </w:rPr>
      </w:pPr>
    </w:p>
    <w:p w14:paraId="199BE79B" w14:textId="77777777" w:rsidR="00B303CC" w:rsidRPr="0095723A" w:rsidRDefault="00B303CC" w:rsidP="38393B7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92229F7" w14:textId="77777777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95CBACC" w14:textId="77777777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1A59D30" w14:textId="77777777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111D582" w14:textId="1EE62E1E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5DA1E64" w14:textId="77777777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525316F" w14:textId="77777777" w:rsidR="00D8427D" w:rsidRPr="0095723A" w:rsidRDefault="00D8427D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272609D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48765C8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3D62F85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24B271D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82F92A5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756615A" w14:textId="27E195B6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4391CB2" w14:textId="6E0E8744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E683B28" w14:textId="3FB24652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5409AFF" w14:textId="0A86EEFF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58B759D" w14:textId="022C0518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DCC2356" w14:textId="4B748E3C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181653E" w14:textId="6C15E65E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F33A51A" w14:textId="1B51A12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5A00C51" w14:textId="08054D48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E726C11" w14:textId="16A8A8C3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F5EF97C" w14:textId="5995F02C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82BB7ED" w14:textId="703BE72C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520684A" w14:textId="074DA88B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9477ED0" w14:textId="56D8D2BE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719B36A" w14:textId="1004D508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46D607C" w14:textId="131B40F4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7978432" w14:textId="2AB72471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EFDD852" w14:textId="7B609063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290148F" w14:textId="2C718FB0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A20F55" w14:textId="3332F2CA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4991117" w14:textId="3F3173CD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7344E25" w14:textId="5CA6D701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7931AFB" w14:textId="317ECBF4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8630F07" w14:textId="3B447302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FCEA0B" w14:textId="40AB8B6D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010AFDD" w14:textId="6B376DE6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8800EBC" w14:textId="73C217A3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811C425" w14:textId="5C9EAA10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DEF13EF" w14:textId="77777777" w:rsidR="005D1D9A" w:rsidRDefault="005D1D9A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17FAE1B" w14:textId="3419A832" w:rsidR="00282131" w:rsidRPr="0095723A" w:rsidRDefault="00282131" w:rsidP="00D842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AB1482: Tenant Protection Act of 2019 (California Properties Only) </w:t>
      </w:r>
    </w:p>
    <w:p w14:paraId="6E24F218" w14:textId="34A88EEB" w:rsidR="00282131" w:rsidRPr="0095723A" w:rsidRDefault="00282131" w:rsidP="00B00E6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sz w:val="20"/>
          <w:szCs w:val="20"/>
        </w:rPr>
        <w:t xml:space="preserve">Effective January 1st, 2020 any property built with a Certificate of Occupancy issued PRIOR to January 1, 2005, and not regulated by stricter local rent control, affordable/BMR program, and or just cause ordinance, will be required to comply with the conditions of Assembly Bill 1482. </w:t>
      </w:r>
    </w:p>
    <w:p w14:paraId="1C38D042" w14:textId="77777777" w:rsidR="00282131" w:rsidRPr="0095723A" w:rsidRDefault="00282131" w:rsidP="00B00E66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i/>
          <w:iCs/>
          <w:color w:val="auto"/>
          <w:sz w:val="20"/>
          <w:szCs w:val="20"/>
        </w:rPr>
        <w:t xml:space="preserve">Table A includes the Essex properties subjected to AB1482 on January 1, 2020. </w:t>
      </w:r>
    </w:p>
    <w:p w14:paraId="18F66726" w14:textId="77777777" w:rsidR="00282131" w:rsidRPr="0095723A" w:rsidRDefault="00282131" w:rsidP="00B00E66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1DAE18B8" w14:textId="468A7932" w:rsidR="00EF7526" w:rsidRPr="0095723A" w:rsidRDefault="00282131" w:rsidP="00D8427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Supplemental reference materials sourced from the California Apartment Association AB1482 compliance page may be accessed here: </w:t>
      </w:r>
      <w:hyperlink r:id="rId22" w:history="1">
        <w:r w:rsidR="00B95BEA" w:rsidRPr="0095723A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AB1482 Reference Materials</w:t>
        </w:r>
      </w:hyperlink>
      <w:r w:rsidR="001F67D3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495853F9" w14:textId="77777777" w:rsidR="00D8427D" w:rsidRPr="0095723A" w:rsidRDefault="00D8427D" w:rsidP="00D8427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1D7D4EA6" w14:textId="77777777" w:rsidR="00711062" w:rsidRPr="0095723A" w:rsidRDefault="00711062" w:rsidP="00B00E66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Key Components of the Tenant Protection Act of 2019 Pertaining to Allowable Rent Increases </w:t>
      </w:r>
    </w:p>
    <w:p w14:paraId="5E542DA7" w14:textId="77777777" w:rsidR="00711062" w:rsidRPr="0095723A" w:rsidRDefault="00711062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Rent increases will be limited to 5% + CPI, not to exceed a total of 10%, in any 12-month period after the initial lease term.</w:t>
      </w:r>
    </w:p>
    <w:p w14:paraId="50F35CAC" w14:textId="3137022F" w:rsidR="00711062" w:rsidRPr="0095723A" w:rsidRDefault="00711062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As per industry standards, “Rent” is defined as the monthly apartment rent excluding concessions. Other ancillary items (e.g. parking, </w:t>
      </w:r>
      <w:r w:rsidR="009222B4" w:rsidRPr="0095723A">
        <w:rPr>
          <w:rFonts w:asciiTheme="majorHAnsi" w:hAnsiTheme="majorHAnsi" w:cstheme="majorHAnsi"/>
          <w:color w:val="auto"/>
          <w:sz w:val="20"/>
          <w:szCs w:val="20"/>
        </w:rPr>
        <w:t>storage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>.) are considered optional and outside of the rental rate used to calculate future increases.</w:t>
      </w:r>
    </w:p>
    <w:p w14:paraId="56EFA0E1" w14:textId="77777777" w:rsidR="00711062" w:rsidRPr="0095723A" w:rsidRDefault="00711062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Renewal increases for ALL lease terms, including month-to-month, will be limited by the 5% + CPI cap.</w:t>
      </w:r>
    </w:p>
    <w:p w14:paraId="70048732" w14:textId="77777777" w:rsidR="006B0C2C" w:rsidRPr="0095723A" w:rsidRDefault="00711062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Rent cap provisions do not apply to a property that is subject to a local rent control ordinance that imposes a lower rent cap.</w:t>
      </w:r>
    </w:p>
    <w:p w14:paraId="03D69DA4" w14:textId="77777777" w:rsidR="006B0C2C" w:rsidRPr="0095723A" w:rsidRDefault="00711062" w:rsidP="00B00E66">
      <w:pPr>
        <w:pStyle w:val="Default"/>
        <w:numPr>
          <w:ilvl w:val="1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Table C specifies the Rent Control Rent Cap per CAA as of 11/1/19</w:t>
      </w:r>
    </w:p>
    <w:p w14:paraId="667FA24A" w14:textId="77777777" w:rsidR="00550B0B" w:rsidRPr="0095723A" w:rsidRDefault="00711062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Allowable rent increases may be taken in two increments over a 12-month period through a “catch up” increase, but only if the lease has expired.</w:t>
      </w:r>
    </w:p>
    <w:p w14:paraId="3AA9B451" w14:textId="5A36319B" w:rsidR="00550B0B" w:rsidRPr="0095723A" w:rsidRDefault="00550B0B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Timing of Increase Example for “Catch Up” Increase: CPI of 3.5% and total increase cap of 8.5%.</w:t>
      </w:r>
    </w:p>
    <w:p w14:paraId="2876F2F0" w14:textId="420B0C9D" w:rsidR="00550B0B" w:rsidRPr="0095723A" w:rsidRDefault="00550B0B" w:rsidP="00B00E66">
      <w:pPr>
        <w:pStyle w:val="Default"/>
        <w:numPr>
          <w:ilvl w:val="1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Rent on 3/15/2020 is $2000 with an expiration date of 9/14/2020. </w:t>
      </w:r>
    </w:p>
    <w:p w14:paraId="3CEFBE4C" w14:textId="6C19DD06" w:rsidR="00550B0B" w:rsidRPr="0095723A" w:rsidRDefault="00550B0B" w:rsidP="00B00E66">
      <w:pPr>
        <w:pStyle w:val="Default"/>
        <w:numPr>
          <w:ilvl w:val="1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Rent increase applied on 9/15/2020 of 4% on a 3-month renewal; new rent is $2,080.</w:t>
      </w:r>
    </w:p>
    <w:p w14:paraId="799DE047" w14:textId="37412797" w:rsidR="0032399E" w:rsidRPr="0095723A" w:rsidRDefault="00550B0B" w:rsidP="00B00E66">
      <w:pPr>
        <w:pStyle w:val="Default"/>
        <w:numPr>
          <w:ilvl w:val="1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Rent increase allowed on 12/16/2020 for all lease terms is 4.5%; new rent can be $2,170.</w:t>
      </w:r>
    </w:p>
    <w:p w14:paraId="20812DD0" w14:textId="212EE83D" w:rsidR="00550B0B" w:rsidRPr="0095723A" w:rsidRDefault="00550B0B" w:rsidP="00B00E66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Rents will be reduced on January 1, 2020 for any resident that has received an increase above the maximum allowable amount.  Resident rent as of </w:t>
      </w:r>
      <w:r w:rsidR="009222B4" w:rsidRPr="0095723A">
        <w:rPr>
          <w:rFonts w:asciiTheme="majorHAnsi" w:hAnsiTheme="majorHAnsi" w:cstheme="majorHAnsi"/>
          <w:color w:val="auto"/>
          <w:sz w:val="20"/>
          <w:szCs w:val="20"/>
        </w:rPr>
        <w:t>March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15, 2019 will be used as the anchor rent for the CPI + 5% calculated rent cap. 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ab/>
      </w:r>
    </w:p>
    <w:p w14:paraId="329473CE" w14:textId="3F03EBB4" w:rsidR="002B5374" w:rsidRPr="0095723A" w:rsidRDefault="00711062" w:rsidP="00B00E66">
      <w:pPr>
        <w:pStyle w:val="Default"/>
        <w:numPr>
          <w:ilvl w:val="1"/>
          <w:numId w:val="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While these adjustments may result in rent decrease for some residents effective January 1, 2020, it does not require a refund of “excess” </w:t>
      </w:r>
      <w:r w:rsidR="009222B4" w:rsidRPr="0095723A">
        <w:rPr>
          <w:rFonts w:asciiTheme="majorHAnsi" w:hAnsiTheme="majorHAnsi" w:cstheme="majorHAnsi"/>
          <w:color w:val="auto"/>
          <w:sz w:val="20"/>
          <w:szCs w:val="20"/>
        </w:rPr>
        <w:t>rents that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were paid during 2019.</w:t>
      </w:r>
    </w:p>
    <w:p w14:paraId="042B74F7" w14:textId="106C8BD3" w:rsidR="002B5374" w:rsidRPr="0095723A" w:rsidRDefault="002B5374" w:rsidP="00B00E66">
      <w:pPr>
        <w:numPr>
          <w:ilvl w:val="0"/>
          <w:numId w:val="9"/>
        </w:numPr>
        <w:autoSpaceDE w:val="0"/>
        <w:autoSpaceDN w:val="0"/>
        <w:adjustRightInd w:val="0"/>
        <w:spacing w:after="21" w:line="240" w:lineRule="auto"/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sz w:val="20"/>
          <w:szCs w:val="20"/>
        </w:rPr>
        <w:t>Vacancy decontrol is applicable; rents may be increased to market when a tenant vacates the unit.</w:t>
      </w:r>
    </w:p>
    <w:p w14:paraId="1232D404" w14:textId="17D40542" w:rsidR="002B5374" w:rsidRPr="0095723A" w:rsidRDefault="002B5374" w:rsidP="00B00E66">
      <w:pPr>
        <w:numPr>
          <w:ilvl w:val="0"/>
          <w:numId w:val="9"/>
        </w:numPr>
        <w:autoSpaceDE w:val="0"/>
        <w:autoSpaceDN w:val="0"/>
        <w:adjustRightInd w:val="0"/>
        <w:spacing w:after="21" w:line="240" w:lineRule="auto"/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sz w:val="20"/>
          <w:szCs w:val="20"/>
        </w:rPr>
        <w:t xml:space="preserve">Existing and New Residents will be provided a written notice that contains a disclosure that will be included in lease agreement and lease </w:t>
      </w:r>
      <w:r w:rsidR="009222B4" w:rsidRPr="0095723A">
        <w:rPr>
          <w:rFonts w:asciiTheme="majorHAnsi" w:hAnsiTheme="majorHAnsi" w:cstheme="majorHAnsi"/>
          <w:sz w:val="20"/>
          <w:szCs w:val="20"/>
        </w:rPr>
        <w:t>renewal documents</w:t>
      </w:r>
      <w:r w:rsidRPr="0095723A">
        <w:rPr>
          <w:rFonts w:asciiTheme="majorHAnsi" w:hAnsiTheme="majorHAnsi" w:cstheme="majorHAnsi"/>
          <w:sz w:val="20"/>
          <w:szCs w:val="20"/>
        </w:rPr>
        <w:t xml:space="preserve"> by August 1, 2020.</w:t>
      </w:r>
    </w:p>
    <w:p w14:paraId="42FC5E57" w14:textId="4A4C9AE0" w:rsidR="002B5374" w:rsidRPr="0095723A" w:rsidRDefault="002B5374" w:rsidP="00B00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sz w:val="20"/>
          <w:szCs w:val="20"/>
        </w:rPr>
        <w:t>Resident Notification (provided in no less than 12-point type):</w:t>
      </w:r>
    </w:p>
    <w:p w14:paraId="70295F7C" w14:textId="502FC7E9" w:rsidR="002B5374" w:rsidRPr="0095723A" w:rsidRDefault="002B5374" w:rsidP="00B00E66">
      <w:pPr>
        <w:pStyle w:val="Default"/>
        <w:ind w:left="720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“California law limits the amount your rent can be increased. See Section 1947.12 of the Civil Code for more information. California law also provides that after all of </w:t>
      </w:r>
      <w:r w:rsidR="009222B4" w:rsidRPr="0095723A">
        <w:rPr>
          <w:rFonts w:asciiTheme="majorHAnsi" w:hAnsiTheme="majorHAnsi" w:cstheme="majorHAnsi"/>
          <w:i/>
          <w:iCs/>
          <w:color w:val="auto"/>
          <w:sz w:val="20"/>
          <w:szCs w:val="20"/>
        </w:rPr>
        <w:t>the tenants</w:t>
      </w:r>
      <w:r w:rsidRPr="0095723A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have continuously and lawfully occupied the property for 12 months or more or at least one of the tenants has continuously and lawfully occupied the property for 24months or more, a landlord must provide a statement of cause in any notice to terminate a tenancy. See Section 1946.2 of the Civil Code for more information”</w:t>
      </w:r>
    </w:p>
    <w:p w14:paraId="0C03453D" w14:textId="059BD1C3" w:rsidR="007A797F" w:rsidRPr="0095723A" w:rsidRDefault="007A797F" w:rsidP="00B00E66">
      <w:pPr>
        <w:pStyle w:val="Default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</w:p>
    <w:p w14:paraId="4710CF08" w14:textId="77777777" w:rsidR="00AB35EB" w:rsidRPr="0095723A" w:rsidRDefault="007A797F" w:rsidP="00B00E66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>Essex Process Changes Effective January 1, 2020 for Properties Subject to AB1482:</w:t>
      </w:r>
    </w:p>
    <w:p w14:paraId="317A9087" w14:textId="77777777" w:rsidR="00AB35EB" w:rsidRPr="0095723A" w:rsidRDefault="00AB35EB" w:rsidP="00B00E66">
      <w:pPr>
        <w:pStyle w:val="Default"/>
        <w:numPr>
          <w:ilvl w:val="0"/>
          <w:numId w:val="13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Renewal letters will be issued 35-55 days in advance of the tenant lease expiration (vs. 65-80 previously) for all California properties.</w:t>
      </w:r>
    </w:p>
    <w:p w14:paraId="40CD1435" w14:textId="77777777" w:rsidR="00AB35EB" w:rsidRPr="0095723A" w:rsidRDefault="00AB35EB" w:rsidP="00B00E66">
      <w:pPr>
        <w:pStyle w:val="Default"/>
        <w:numPr>
          <w:ilvl w:val="0"/>
          <w:numId w:val="13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Renewal rent increases for ALL lease terms, including month-to-month, will be limited by the 5%+ CPI cap.</w:t>
      </w:r>
    </w:p>
    <w:p w14:paraId="292B211D" w14:textId="77777777" w:rsidR="00AB35EB" w:rsidRPr="0095723A" w:rsidRDefault="00AB35EB" w:rsidP="00B00E66">
      <w:pPr>
        <w:pStyle w:val="Default"/>
        <w:numPr>
          <w:ilvl w:val="0"/>
          <w:numId w:val="13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Communities with multiple Certificate of Occupancy dates will follow the process for the earliest date of issue.</w:t>
      </w:r>
    </w:p>
    <w:p w14:paraId="104BE650" w14:textId="77777777" w:rsidR="00AB35EB" w:rsidRPr="0095723A" w:rsidRDefault="00AB35EB" w:rsidP="00B00E66">
      <w:pPr>
        <w:pStyle w:val="Default"/>
        <w:numPr>
          <w:ilvl w:val="0"/>
          <w:numId w:val="13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Month-to-month offers will continue to be listed on the renewal letters with amounts set at the 5%+ CPI cap.</w:t>
      </w:r>
    </w:p>
    <w:p w14:paraId="1CFF5E42" w14:textId="79451460" w:rsidR="00AB35EB" w:rsidRPr="0095723A" w:rsidRDefault="00AB35EB" w:rsidP="00B00E66">
      <w:pPr>
        <w:pStyle w:val="Default"/>
        <w:numPr>
          <w:ilvl w:val="0"/>
          <w:numId w:val="13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Use of discounts, stale unit pricing and concessions on New Lease pricing will continue as necessary to remain competitive with the</w:t>
      </w:r>
      <w:r w:rsidR="003234E3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>market.</w:t>
      </w:r>
    </w:p>
    <w:p w14:paraId="051B096C" w14:textId="6A2BA427" w:rsidR="003234E3" w:rsidRPr="0095723A" w:rsidRDefault="003234E3" w:rsidP="00B00E66">
      <w:pPr>
        <w:pStyle w:val="Default"/>
        <w:ind w:left="360"/>
        <w:rPr>
          <w:rFonts w:asciiTheme="majorHAnsi" w:hAnsiTheme="majorHAnsi" w:cstheme="majorHAnsi"/>
          <w:color w:val="auto"/>
          <w:sz w:val="20"/>
          <w:szCs w:val="20"/>
        </w:rPr>
      </w:pPr>
    </w:p>
    <w:p w14:paraId="274560FC" w14:textId="2BA65DD8" w:rsidR="003234E3" w:rsidRPr="0095723A" w:rsidRDefault="003234E3" w:rsidP="00B00E66">
      <w:pPr>
        <w:pStyle w:val="Default"/>
        <w:ind w:left="360"/>
        <w:rPr>
          <w:rFonts w:asciiTheme="majorHAnsi" w:hAnsiTheme="majorHAnsi" w:cstheme="majorHAnsi"/>
          <w:color w:val="auto"/>
          <w:sz w:val="20"/>
          <w:szCs w:val="20"/>
        </w:rPr>
      </w:pPr>
    </w:p>
    <w:p w14:paraId="1B88CEB0" w14:textId="4F0EA374" w:rsidR="00BF3E10" w:rsidRPr="0095723A" w:rsidRDefault="00F67FD4" w:rsidP="00A35D80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>AB1110</w:t>
      </w:r>
      <w:r w:rsidR="001300D2"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</w:t>
      </w:r>
    </w:p>
    <w:p w14:paraId="34B60DD6" w14:textId="5193509F" w:rsidR="00CC5473" w:rsidRPr="0095723A" w:rsidRDefault="000C5204" w:rsidP="00CC5473">
      <w:p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5723A">
        <w:rPr>
          <w:rFonts w:asciiTheme="majorHAnsi" w:eastAsia="Times New Roman" w:hAnsiTheme="majorHAnsi" w:cstheme="majorHAnsi"/>
          <w:sz w:val="20"/>
          <w:szCs w:val="20"/>
        </w:rPr>
        <w:t>R</w:t>
      </w:r>
      <w:r w:rsidR="00CC5473" w:rsidRPr="0095723A">
        <w:rPr>
          <w:rFonts w:asciiTheme="majorHAnsi" w:eastAsia="Times New Roman" w:hAnsiTheme="majorHAnsi" w:cstheme="majorHAnsi"/>
          <w:sz w:val="20"/>
          <w:szCs w:val="20"/>
        </w:rPr>
        <w:t xml:space="preserve">equires that if a landlord of a residential dwelling with a month-to-month tenancy increases the rent by 10% or less of the amount of the rent charged to a tenant annually, as specified, the landlord shall provide at least 30 days’ notice, before the effective date of the change. </w:t>
      </w:r>
      <w:r w:rsidRPr="0095723A">
        <w:rPr>
          <w:rFonts w:asciiTheme="majorHAnsi" w:eastAsia="Times New Roman" w:hAnsiTheme="majorHAnsi" w:cstheme="majorHAnsi"/>
          <w:sz w:val="20"/>
          <w:szCs w:val="20"/>
        </w:rPr>
        <w:t>If</w:t>
      </w:r>
      <w:r w:rsidR="00CC5473" w:rsidRPr="0095723A">
        <w:rPr>
          <w:rFonts w:asciiTheme="majorHAnsi" w:eastAsia="Times New Roman" w:hAnsiTheme="majorHAnsi" w:cstheme="majorHAnsi"/>
          <w:sz w:val="20"/>
          <w:szCs w:val="20"/>
        </w:rPr>
        <w:t xml:space="preserve"> a landlord of a residential dwelling with a month-to-month tenancy increases </w:t>
      </w:r>
      <w:r w:rsidR="00CC5473" w:rsidRPr="0095723A"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the rent by more than 10% of the amount of the rent charged to a tenant annually, as specified, the landlord shall provide an additional </w:t>
      </w:r>
      <w:r w:rsidRPr="0095723A">
        <w:rPr>
          <w:rFonts w:asciiTheme="majorHAnsi" w:eastAsia="Times New Roman" w:hAnsiTheme="majorHAnsi" w:cstheme="majorHAnsi"/>
          <w:sz w:val="20"/>
          <w:szCs w:val="20"/>
        </w:rPr>
        <w:t>6</w:t>
      </w:r>
      <w:r w:rsidR="00CC5473" w:rsidRPr="0095723A">
        <w:rPr>
          <w:rFonts w:asciiTheme="majorHAnsi" w:eastAsia="Times New Roman" w:hAnsiTheme="majorHAnsi" w:cstheme="majorHAnsi"/>
          <w:sz w:val="20"/>
          <w:szCs w:val="20"/>
        </w:rPr>
        <w:t xml:space="preserve">0 days’ notice, for a total of </w:t>
      </w:r>
      <w:r w:rsidRPr="0095723A">
        <w:rPr>
          <w:rFonts w:asciiTheme="majorHAnsi" w:eastAsia="Times New Roman" w:hAnsiTheme="majorHAnsi" w:cstheme="majorHAnsi"/>
          <w:sz w:val="20"/>
          <w:szCs w:val="20"/>
        </w:rPr>
        <w:t>9</w:t>
      </w:r>
      <w:r w:rsidR="00CC5473" w:rsidRPr="0095723A">
        <w:rPr>
          <w:rFonts w:asciiTheme="majorHAnsi" w:eastAsia="Times New Roman" w:hAnsiTheme="majorHAnsi" w:cstheme="majorHAnsi"/>
          <w:sz w:val="20"/>
          <w:szCs w:val="20"/>
        </w:rPr>
        <w:t>0 days, before the effective date of the increase</w:t>
      </w:r>
      <w:r w:rsidRPr="0095723A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</w:p>
    <w:p w14:paraId="4416B08B" w14:textId="5F2FC8E4" w:rsidR="00CC5473" w:rsidRPr="0095723A" w:rsidRDefault="00965159" w:rsidP="00F67FD4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Supplemental reference materials sourced from the California Apartment Association AB1482 compliance page may be accessed here</w:t>
      </w:r>
      <w:r w:rsidR="002D54C2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: </w:t>
      </w:r>
      <w:hyperlink r:id="rId23" w:history="1">
        <w:r w:rsidR="002D54C2" w:rsidRPr="0095723A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 xml:space="preserve">AB1110 Supplemental Materials </w:t>
        </w:r>
      </w:hyperlink>
      <w:r w:rsidR="002D54C2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110A36BA" w14:textId="77777777" w:rsidR="001300D2" w:rsidRPr="0095723A" w:rsidRDefault="001300D2" w:rsidP="00F67FD4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15734525" w14:textId="49299132" w:rsidR="002D54C2" w:rsidRPr="0095723A" w:rsidRDefault="002D54C2" w:rsidP="00F67FD4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>Key Components of AB1110</w:t>
      </w:r>
    </w:p>
    <w:p w14:paraId="5AB4072D" w14:textId="48FD3AD2" w:rsidR="000C085B" w:rsidRPr="0095723A" w:rsidRDefault="000C085B" w:rsidP="000C085B">
      <w:pPr>
        <w:pStyle w:val="Default"/>
        <w:numPr>
          <w:ilvl w:val="0"/>
          <w:numId w:val="14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Renewal increases less than 10% need to </w:t>
      </w:r>
      <w:r w:rsidR="009C17A8" w:rsidRPr="0095723A">
        <w:rPr>
          <w:rFonts w:asciiTheme="majorHAnsi" w:hAnsiTheme="majorHAnsi" w:cstheme="majorHAnsi"/>
          <w:color w:val="auto"/>
          <w:sz w:val="20"/>
          <w:szCs w:val="20"/>
        </w:rPr>
        <w:t>be sent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out 30 days in advance. </w:t>
      </w:r>
    </w:p>
    <w:p w14:paraId="604900D8" w14:textId="77777777" w:rsidR="00B010BF" w:rsidRPr="0095723A" w:rsidRDefault="000C085B" w:rsidP="00B010BF">
      <w:pPr>
        <w:pStyle w:val="Default"/>
        <w:numPr>
          <w:ilvl w:val="0"/>
          <w:numId w:val="14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Renewal increases greater than 10% need to</w:t>
      </w:r>
      <w:r w:rsidR="009C17A8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be sent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out </w:t>
      </w:r>
      <w:r w:rsidR="00D954C2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90 days in advance. </w:t>
      </w:r>
    </w:p>
    <w:p w14:paraId="785EFB3B" w14:textId="77777777" w:rsidR="00B010BF" w:rsidRPr="0095723A" w:rsidRDefault="00B010BF" w:rsidP="00B010BF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6917FD02" w14:textId="43FDF3E8" w:rsidR="00B010BF" w:rsidRPr="0095723A" w:rsidRDefault="00B010BF" w:rsidP="00B010BF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Essex Process Changes Effective January 1, 2020 for Properties Subject to AB1110: </w:t>
      </w:r>
    </w:p>
    <w:p w14:paraId="0082F16A" w14:textId="270023A5" w:rsidR="00B010BF" w:rsidRPr="0095723A" w:rsidRDefault="00C2028E" w:rsidP="00B010BF">
      <w:pPr>
        <w:pStyle w:val="Default"/>
        <w:numPr>
          <w:ilvl w:val="0"/>
          <w:numId w:val="15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Renewals will be capped at a max 10% increase for all </w:t>
      </w:r>
      <w:r w:rsidR="00770351" w:rsidRPr="0095723A">
        <w:rPr>
          <w:rFonts w:asciiTheme="majorHAnsi" w:hAnsiTheme="majorHAnsi" w:cstheme="majorHAnsi"/>
          <w:color w:val="auto"/>
          <w:sz w:val="20"/>
          <w:szCs w:val="20"/>
        </w:rPr>
        <w:t>Non-AB1482</w:t>
      </w:r>
      <w:r w:rsidR="000C7B16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communities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</w:p>
    <w:p w14:paraId="6DD76CB2" w14:textId="28056A27" w:rsidR="000C7B16" w:rsidRPr="0095723A" w:rsidRDefault="00C2028E" w:rsidP="00B010BF">
      <w:pPr>
        <w:pStyle w:val="Default"/>
        <w:numPr>
          <w:ilvl w:val="0"/>
          <w:numId w:val="15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A</w:t>
      </w:r>
      <w:r w:rsidR="00757036" w:rsidRPr="0095723A">
        <w:rPr>
          <w:rFonts w:asciiTheme="majorHAnsi" w:hAnsiTheme="majorHAnsi" w:cstheme="majorHAnsi"/>
          <w:color w:val="auto"/>
          <w:sz w:val="20"/>
          <w:szCs w:val="20"/>
        </w:rPr>
        <w:t>ll renewals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will be sent out to residents</w:t>
      </w:r>
      <w:r w:rsidR="00757036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35</w:t>
      </w:r>
      <w:r w:rsidR="00770351" w:rsidRPr="0095723A">
        <w:rPr>
          <w:rFonts w:asciiTheme="majorHAnsi" w:hAnsiTheme="majorHAnsi" w:cstheme="majorHAnsi"/>
          <w:color w:val="auto"/>
          <w:sz w:val="20"/>
          <w:szCs w:val="20"/>
        </w:rPr>
        <w:t>-55</w:t>
      </w:r>
      <w:r w:rsidR="00757036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days in advance of 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>their expiration month.</w:t>
      </w:r>
    </w:p>
    <w:p w14:paraId="194FB550" w14:textId="24FCDAC0" w:rsidR="00757036" w:rsidRPr="0095723A" w:rsidRDefault="00C2028E" w:rsidP="00EF4DB7">
      <w:pPr>
        <w:pStyle w:val="Default"/>
        <w:numPr>
          <w:ilvl w:val="1"/>
          <w:numId w:val="15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I.e. November Renewals will be sent out to residents no later than the 25</w:t>
      </w:r>
      <w:r w:rsidRPr="0095723A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>th</w:t>
      </w: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of October. </w:t>
      </w:r>
    </w:p>
    <w:p w14:paraId="1360BB90" w14:textId="0108458E" w:rsidR="00265C88" w:rsidRPr="0095723A" w:rsidRDefault="00265C88" w:rsidP="00265C88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3560FB94" w14:textId="0B533D5D" w:rsidR="00265C88" w:rsidRPr="0095723A" w:rsidRDefault="00555B2C" w:rsidP="00265C88">
      <w:pPr>
        <w:pStyle w:val="Default"/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</w:pPr>
      <w:hyperlink r:id="rId24" w:tgtFrame="_blank" w:history="1">
        <w:r w:rsidR="00473C09" w:rsidRPr="0095723A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Council Bill 119985 </w:t>
        </w:r>
      </w:hyperlink>
      <w:r w:rsidR="00473C09"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and </w:t>
      </w:r>
      <w:hyperlink r:id="rId25" w:tgtFrame="_blank" w:history="1">
        <w:r w:rsidR="00473C09" w:rsidRPr="0095723A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120173</w:t>
        </w:r>
      </w:hyperlink>
      <w:r w:rsidR="00473C09" w:rsidRPr="0095723A">
        <w:rPr>
          <w:rFonts w:asciiTheme="majorHAnsi" w:hAnsiTheme="majorHAnsi" w:cstheme="majorHAnsi"/>
          <w:b/>
          <w:bCs/>
          <w:color w:val="auto"/>
          <w:sz w:val="20"/>
          <w:szCs w:val="20"/>
          <w:shd w:val="clear" w:color="auto" w:fill="FFFFFF"/>
        </w:rPr>
        <w:t> </w:t>
      </w:r>
    </w:p>
    <w:p w14:paraId="35AC5F12" w14:textId="1AD63747" w:rsidR="00D3376A" w:rsidRPr="0095723A" w:rsidRDefault="00A35D80" w:rsidP="00265C88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>Legislation that requires landlords to send out renewals to residents a minimum of 180 days in advance.</w:t>
      </w:r>
      <w:r w:rsidR="00F35CC0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If the landlord provides an increase greater than 10% and the resident determines it is not fair, the landlords are required to</w:t>
      </w:r>
      <w:r w:rsidR="00E57A01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 pay 3 times the monthly housing cost as moving expenses.  </w:t>
      </w:r>
    </w:p>
    <w:p w14:paraId="68199637" w14:textId="11D58555" w:rsidR="009334AE" w:rsidRPr="0095723A" w:rsidRDefault="009334AE" w:rsidP="00265C88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4768C4E0" w14:textId="048BCA70" w:rsidR="00F64CFD" w:rsidRPr="0095723A" w:rsidRDefault="00F64CFD" w:rsidP="00265C88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Key Components: </w:t>
      </w:r>
    </w:p>
    <w:p w14:paraId="01E1D254" w14:textId="51E770BE" w:rsidR="00F64CFD" w:rsidRPr="0095723A" w:rsidRDefault="00F64CFD" w:rsidP="00F64CFD">
      <w:pPr>
        <w:pStyle w:val="Default"/>
        <w:numPr>
          <w:ilvl w:val="0"/>
          <w:numId w:val="16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Landlord has to provide renewal letters 180 days in advance. </w:t>
      </w:r>
    </w:p>
    <w:p w14:paraId="36DD1D17" w14:textId="67F6C175" w:rsidR="00F64CFD" w:rsidRPr="0095723A" w:rsidRDefault="00F64CFD" w:rsidP="00F64CFD">
      <w:pPr>
        <w:pStyle w:val="Default"/>
        <w:numPr>
          <w:ilvl w:val="0"/>
          <w:numId w:val="16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Increases of more than 10% have to pay </w:t>
      </w:r>
      <w:r w:rsidR="007B3831"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3 month’s rent to the tenant as relocation fees. </w:t>
      </w:r>
    </w:p>
    <w:p w14:paraId="6FBD2654" w14:textId="77777777" w:rsidR="00D8427D" w:rsidRPr="0095723A" w:rsidRDefault="00D8427D" w:rsidP="005B3633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302BC4B0" w14:textId="0D5ACED3" w:rsidR="005B3633" w:rsidRPr="0095723A" w:rsidRDefault="005B3633" w:rsidP="005B3633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Essex Process Changes </w:t>
      </w:r>
    </w:p>
    <w:p w14:paraId="58FF6399" w14:textId="4378DF73" w:rsidR="005B3633" w:rsidRPr="0095723A" w:rsidRDefault="000A4D8E" w:rsidP="000A4D8E">
      <w:pPr>
        <w:pStyle w:val="Default"/>
        <w:numPr>
          <w:ilvl w:val="0"/>
          <w:numId w:val="1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For renewals, provide notice to all Seattle Sites 6 month in advance with a max of 9.9%. </w:t>
      </w:r>
    </w:p>
    <w:p w14:paraId="1C5AAC99" w14:textId="4165EF99" w:rsidR="000A4D8E" w:rsidRPr="0095723A" w:rsidRDefault="00F62CC6" w:rsidP="000A4D8E">
      <w:pPr>
        <w:pStyle w:val="Default"/>
        <w:numPr>
          <w:ilvl w:val="0"/>
          <w:numId w:val="19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color w:val="auto"/>
          <w:sz w:val="20"/>
          <w:szCs w:val="20"/>
        </w:rPr>
        <w:t xml:space="preserve">For M-t-M residents, send out offers 6 months in advance with a 9.9% max increase. </w:t>
      </w:r>
    </w:p>
    <w:p w14:paraId="6C2F7506" w14:textId="05C839A2" w:rsidR="00D954C2" w:rsidRPr="0095723A" w:rsidRDefault="00D954C2" w:rsidP="2CE341A7">
      <w:pPr>
        <w:pStyle w:val="Default"/>
        <w:rPr>
          <w:rFonts w:asciiTheme="majorHAnsi" w:eastAsia="Calibri" w:hAnsiTheme="majorHAnsi" w:cstheme="majorHAnsi"/>
          <w:color w:val="auto"/>
          <w:sz w:val="20"/>
          <w:szCs w:val="20"/>
        </w:rPr>
      </w:pPr>
    </w:p>
    <w:p w14:paraId="7B0059AC" w14:textId="10D0E5C9" w:rsidR="00D954C2" w:rsidRPr="0095723A" w:rsidRDefault="6808778B" w:rsidP="2CE341A7">
      <w:pPr>
        <w:pStyle w:val="Default"/>
        <w:rPr>
          <w:rFonts w:asciiTheme="majorHAnsi" w:eastAsia="Calibri" w:hAnsiTheme="majorHAnsi" w:cstheme="majorHAnsi"/>
          <w:color w:val="auto"/>
          <w:sz w:val="20"/>
          <w:szCs w:val="20"/>
        </w:rPr>
      </w:pPr>
      <w:r w:rsidRPr="0095723A">
        <w:rPr>
          <w:rFonts w:asciiTheme="majorHAnsi" w:hAnsiTheme="majorHAnsi" w:cstheme="majorHAnsi"/>
          <w:noProof/>
          <w:color w:val="auto"/>
          <w:sz w:val="20"/>
          <w:szCs w:val="20"/>
        </w:rPr>
        <w:lastRenderedPageBreak/>
        <w:drawing>
          <wp:inline distT="0" distB="0" distL="0" distR="0" wp14:anchorId="31916F04" wp14:editId="0CB4CDFD">
            <wp:extent cx="5962650" cy="6625166"/>
            <wp:effectExtent l="0" t="0" r="0" b="4445"/>
            <wp:docPr id="1858960226" name="Picture 185896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616" cy="662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BCB">
        <w:rPr>
          <w:rFonts w:asciiTheme="majorHAnsi" w:eastAsia="Calibri" w:hAnsiTheme="majorHAnsi" w:cstheme="majorHAnsi"/>
          <w:color w:val="auto"/>
          <w:sz w:val="20"/>
          <w:szCs w:val="20"/>
        </w:rPr>
        <w:t>4</w:t>
      </w:r>
    </w:p>
    <w:p w14:paraId="7B794346" w14:textId="3C27FE28" w:rsidR="00EF7526" w:rsidRPr="0095723A" w:rsidRDefault="00EF7526" w:rsidP="00B00E66">
      <w:pPr>
        <w:ind w:firstLine="720"/>
        <w:rPr>
          <w:rFonts w:asciiTheme="majorHAnsi" w:hAnsiTheme="majorHAnsi" w:cstheme="majorHAnsi"/>
          <w:sz w:val="20"/>
          <w:szCs w:val="20"/>
        </w:rPr>
      </w:pPr>
    </w:p>
    <w:p w14:paraId="59FCD785" w14:textId="79BCBA11" w:rsidR="00EF7526" w:rsidRPr="0095723A" w:rsidRDefault="00EF7526" w:rsidP="2CE341A7">
      <w:pPr>
        <w:rPr>
          <w:rFonts w:asciiTheme="majorHAnsi" w:hAnsiTheme="majorHAnsi" w:cstheme="majorHAnsi"/>
          <w:sz w:val="20"/>
          <w:szCs w:val="20"/>
        </w:rPr>
      </w:pPr>
    </w:p>
    <w:p w14:paraId="0E97EAF5" w14:textId="751D7073" w:rsidR="00EF7526" w:rsidRPr="0095723A" w:rsidRDefault="00EF7526" w:rsidP="00B00E66">
      <w:pPr>
        <w:rPr>
          <w:rFonts w:asciiTheme="majorHAnsi" w:hAnsiTheme="majorHAnsi" w:cstheme="majorHAnsi"/>
          <w:sz w:val="20"/>
          <w:szCs w:val="20"/>
        </w:rPr>
      </w:pPr>
    </w:p>
    <w:p w14:paraId="7CA02E38" w14:textId="0D7B3E3A" w:rsidR="00EF7526" w:rsidRPr="0095723A" w:rsidRDefault="004435F6" w:rsidP="00B00E66">
      <w:pPr>
        <w:rPr>
          <w:rFonts w:asciiTheme="majorHAnsi" w:hAnsiTheme="majorHAnsi" w:cstheme="majorHAnsi"/>
          <w:sz w:val="20"/>
          <w:szCs w:val="20"/>
        </w:rPr>
      </w:pPr>
      <w:r w:rsidRPr="0095723A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C0EF389" wp14:editId="6C7631A1">
            <wp:extent cx="6116045" cy="385762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8954" cy="388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9494" w14:textId="77777777" w:rsidR="00EF7526" w:rsidRPr="0095723A" w:rsidRDefault="00EF7526" w:rsidP="00B00E66">
      <w:pPr>
        <w:rPr>
          <w:rFonts w:asciiTheme="majorHAnsi" w:hAnsiTheme="majorHAnsi" w:cstheme="majorHAnsi"/>
          <w:sz w:val="20"/>
          <w:szCs w:val="20"/>
        </w:rPr>
      </w:pPr>
    </w:p>
    <w:p w14:paraId="1B72D2B1" w14:textId="73D3455D" w:rsidR="00630CBA" w:rsidRPr="0095723A" w:rsidRDefault="00630CBA" w:rsidP="2CE341A7">
      <w:pPr>
        <w:rPr>
          <w:rFonts w:asciiTheme="majorHAnsi" w:hAnsiTheme="majorHAnsi" w:cstheme="majorHAnsi"/>
          <w:sz w:val="20"/>
          <w:szCs w:val="20"/>
        </w:rPr>
      </w:pPr>
    </w:p>
    <w:p w14:paraId="29EEB628" w14:textId="564FE8EE" w:rsidR="04BAB82F" w:rsidRPr="0095723A" w:rsidRDefault="04BAB82F" w:rsidP="04BAB82F">
      <w:pPr>
        <w:rPr>
          <w:rFonts w:asciiTheme="majorHAnsi" w:hAnsiTheme="majorHAnsi" w:cstheme="majorHAnsi"/>
          <w:sz w:val="20"/>
          <w:szCs w:val="20"/>
        </w:rPr>
      </w:pPr>
    </w:p>
    <w:p w14:paraId="10E066E9" w14:textId="363EAF69" w:rsidR="04BAB82F" w:rsidRPr="0095723A" w:rsidRDefault="04BAB82F" w:rsidP="04BAB82F">
      <w:pPr>
        <w:rPr>
          <w:rFonts w:asciiTheme="majorHAnsi" w:hAnsiTheme="majorHAnsi" w:cstheme="majorHAnsi"/>
          <w:sz w:val="20"/>
          <w:szCs w:val="20"/>
        </w:rPr>
      </w:pPr>
    </w:p>
    <w:p w14:paraId="41B29486" w14:textId="5113EA34" w:rsidR="04BAB82F" w:rsidRPr="0095723A" w:rsidRDefault="04BAB82F" w:rsidP="04BAB82F">
      <w:pPr>
        <w:rPr>
          <w:rFonts w:asciiTheme="majorHAnsi" w:hAnsiTheme="majorHAnsi" w:cstheme="majorHAnsi"/>
          <w:sz w:val="20"/>
          <w:szCs w:val="20"/>
        </w:rPr>
      </w:pPr>
    </w:p>
    <w:p w14:paraId="21094304" w14:textId="6B0FAEA2" w:rsidR="04BAB82F" w:rsidRPr="0095723A" w:rsidRDefault="04BAB82F" w:rsidP="04BAB82F">
      <w:pPr>
        <w:rPr>
          <w:rFonts w:asciiTheme="majorHAnsi" w:hAnsiTheme="majorHAnsi" w:cstheme="majorHAnsi"/>
          <w:sz w:val="20"/>
          <w:szCs w:val="20"/>
        </w:rPr>
      </w:pPr>
    </w:p>
    <w:p w14:paraId="5C88F44F" w14:textId="0ADEB701" w:rsidR="00AD4833" w:rsidRPr="0095723A" w:rsidRDefault="00AD4833" w:rsidP="2CE341A7">
      <w:pPr>
        <w:rPr>
          <w:rFonts w:asciiTheme="majorHAnsi" w:hAnsiTheme="majorHAnsi" w:cstheme="majorHAnsi"/>
          <w:sz w:val="20"/>
          <w:szCs w:val="20"/>
        </w:rPr>
      </w:pPr>
    </w:p>
    <w:sectPr w:rsidR="00AD4833" w:rsidRPr="0095723A" w:rsidSect="00EF75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63BC31"/>
    <w:multiLevelType w:val="hybridMultilevel"/>
    <w:tmpl w:val="E8A762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44AA25"/>
    <w:multiLevelType w:val="hybridMultilevel"/>
    <w:tmpl w:val="5D57DC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7C83B"/>
    <w:multiLevelType w:val="hybridMultilevel"/>
    <w:tmpl w:val="E44767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E8DBD3"/>
    <w:multiLevelType w:val="hybridMultilevel"/>
    <w:tmpl w:val="C389C1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CC644D"/>
    <w:multiLevelType w:val="hybridMultilevel"/>
    <w:tmpl w:val="794AF5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1E9E90"/>
    <w:multiLevelType w:val="hybridMultilevel"/>
    <w:tmpl w:val="6E4DDF9A"/>
    <w:lvl w:ilvl="0" w:tplc="FFFFFFFF">
      <w:start w:val="1"/>
      <w:numFmt w:val="bullet"/>
      <w:lvlText w:val="•"/>
      <w:lvlJc w:val="left"/>
    </w:lvl>
    <w:lvl w:ilvl="1" w:tplc="251AB45D">
      <w:start w:val="1"/>
      <w:numFmt w:val="bullet"/>
      <w:lvlText w:val="•"/>
      <w:lvlJc w:val="left"/>
    </w:lvl>
    <w:lvl w:ilvl="2" w:tplc="DBFBEA4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BD0D940"/>
    <w:multiLevelType w:val="hybridMultilevel"/>
    <w:tmpl w:val="F0F6B7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82B56"/>
    <w:multiLevelType w:val="hybridMultilevel"/>
    <w:tmpl w:val="CB4CB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D45E1"/>
    <w:multiLevelType w:val="hybridMultilevel"/>
    <w:tmpl w:val="11544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252864"/>
    <w:multiLevelType w:val="hybridMultilevel"/>
    <w:tmpl w:val="5C84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AB6FC5"/>
    <w:multiLevelType w:val="hybridMultilevel"/>
    <w:tmpl w:val="6ECE3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5731EA"/>
    <w:multiLevelType w:val="hybridMultilevel"/>
    <w:tmpl w:val="2830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443523"/>
    <w:multiLevelType w:val="hybridMultilevel"/>
    <w:tmpl w:val="55B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7311FF"/>
    <w:multiLevelType w:val="hybridMultilevel"/>
    <w:tmpl w:val="0A5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A229E3"/>
    <w:multiLevelType w:val="hybridMultilevel"/>
    <w:tmpl w:val="530A0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20FF1"/>
    <w:multiLevelType w:val="hybridMultilevel"/>
    <w:tmpl w:val="B2FC06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64A94"/>
    <w:multiLevelType w:val="hybridMultilevel"/>
    <w:tmpl w:val="BFAC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833396"/>
    <w:multiLevelType w:val="hybridMultilevel"/>
    <w:tmpl w:val="9622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58669D"/>
    <w:multiLevelType w:val="hybridMultilevel"/>
    <w:tmpl w:val="E43A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D0E7F"/>
    <w:multiLevelType w:val="hybridMultilevel"/>
    <w:tmpl w:val="9476E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D1511"/>
    <w:multiLevelType w:val="hybridMultilevel"/>
    <w:tmpl w:val="C15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F36896"/>
    <w:multiLevelType w:val="hybridMultilevel"/>
    <w:tmpl w:val="FB0C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7F6C3C"/>
    <w:multiLevelType w:val="hybridMultilevel"/>
    <w:tmpl w:val="2FAAF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690D25"/>
    <w:multiLevelType w:val="hybridMultilevel"/>
    <w:tmpl w:val="4F3C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E22B98"/>
    <w:multiLevelType w:val="hybridMultilevel"/>
    <w:tmpl w:val="237E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3E6775"/>
    <w:multiLevelType w:val="hybridMultilevel"/>
    <w:tmpl w:val="6EE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273C09"/>
    <w:multiLevelType w:val="hybridMultilevel"/>
    <w:tmpl w:val="DD467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2246E"/>
    <w:multiLevelType w:val="hybridMultilevel"/>
    <w:tmpl w:val="74B6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6"/>
  </w:num>
  <w:num w:numId="5">
    <w:abstractNumId w:val="1"/>
  </w:num>
  <w:num w:numId="6">
    <w:abstractNumId w:val="27"/>
  </w:num>
  <w:num w:numId="7">
    <w:abstractNumId w:val="5"/>
  </w:num>
  <w:num w:numId="8">
    <w:abstractNumId w:val="0"/>
  </w:num>
  <w:num w:numId="9">
    <w:abstractNumId w:val="25"/>
  </w:num>
  <w:num w:numId="10">
    <w:abstractNumId w:val="15"/>
  </w:num>
  <w:num w:numId="11">
    <w:abstractNumId w:val="6"/>
  </w:num>
  <w:num w:numId="12">
    <w:abstractNumId w:val="3"/>
  </w:num>
  <w:num w:numId="13">
    <w:abstractNumId w:val="24"/>
  </w:num>
  <w:num w:numId="14">
    <w:abstractNumId w:val="17"/>
  </w:num>
  <w:num w:numId="15">
    <w:abstractNumId w:val="13"/>
  </w:num>
  <w:num w:numId="16">
    <w:abstractNumId w:val="20"/>
  </w:num>
  <w:num w:numId="17">
    <w:abstractNumId w:val="9"/>
  </w:num>
  <w:num w:numId="18">
    <w:abstractNumId w:val="21"/>
  </w:num>
  <w:num w:numId="19">
    <w:abstractNumId w:val="11"/>
  </w:num>
  <w:num w:numId="20">
    <w:abstractNumId w:val="23"/>
  </w:num>
  <w:num w:numId="21">
    <w:abstractNumId w:val="8"/>
  </w:num>
  <w:num w:numId="22">
    <w:abstractNumId w:val="18"/>
  </w:num>
  <w:num w:numId="23">
    <w:abstractNumId w:val="14"/>
  </w:num>
  <w:num w:numId="24">
    <w:abstractNumId w:val="19"/>
  </w:num>
  <w:num w:numId="25">
    <w:abstractNumId w:val="26"/>
  </w:num>
  <w:num w:numId="26">
    <w:abstractNumId w:val="7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A"/>
    <w:rsid w:val="00063958"/>
    <w:rsid w:val="00064A25"/>
    <w:rsid w:val="0009010F"/>
    <w:rsid w:val="000A0061"/>
    <w:rsid w:val="000A4D8E"/>
    <w:rsid w:val="000C085B"/>
    <w:rsid w:val="000C5204"/>
    <w:rsid w:val="000C7B16"/>
    <w:rsid w:val="000D4D27"/>
    <w:rsid w:val="000D6FE7"/>
    <w:rsid w:val="000D76A6"/>
    <w:rsid w:val="000E4C59"/>
    <w:rsid w:val="00123AC9"/>
    <w:rsid w:val="001300D2"/>
    <w:rsid w:val="0013173C"/>
    <w:rsid w:val="00134C28"/>
    <w:rsid w:val="00135980"/>
    <w:rsid w:val="001427BE"/>
    <w:rsid w:val="00146C90"/>
    <w:rsid w:val="001A247A"/>
    <w:rsid w:val="001A3762"/>
    <w:rsid w:val="001C26A6"/>
    <w:rsid w:val="001D0E15"/>
    <w:rsid w:val="001D3C05"/>
    <w:rsid w:val="001E3AB2"/>
    <w:rsid w:val="001E3BEF"/>
    <w:rsid w:val="001F06A3"/>
    <w:rsid w:val="001F67D3"/>
    <w:rsid w:val="0021133C"/>
    <w:rsid w:val="002126AE"/>
    <w:rsid w:val="00254C27"/>
    <w:rsid w:val="00263423"/>
    <w:rsid w:val="00265C88"/>
    <w:rsid w:val="00273E9D"/>
    <w:rsid w:val="00280083"/>
    <w:rsid w:val="00282131"/>
    <w:rsid w:val="00291305"/>
    <w:rsid w:val="00294018"/>
    <w:rsid w:val="002B170D"/>
    <w:rsid w:val="002B5374"/>
    <w:rsid w:val="002D187B"/>
    <w:rsid w:val="002D4E8A"/>
    <w:rsid w:val="002D54C2"/>
    <w:rsid w:val="002E53F9"/>
    <w:rsid w:val="002E7117"/>
    <w:rsid w:val="002F5B4B"/>
    <w:rsid w:val="00315212"/>
    <w:rsid w:val="003164D6"/>
    <w:rsid w:val="003234E3"/>
    <w:rsid w:val="0032399E"/>
    <w:rsid w:val="003727EC"/>
    <w:rsid w:val="003827AF"/>
    <w:rsid w:val="003A23BB"/>
    <w:rsid w:val="003A2E68"/>
    <w:rsid w:val="003B0AAC"/>
    <w:rsid w:val="003C0B87"/>
    <w:rsid w:val="003E5BD9"/>
    <w:rsid w:val="003F4C84"/>
    <w:rsid w:val="003F5F5C"/>
    <w:rsid w:val="004200D5"/>
    <w:rsid w:val="004435F6"/>
    <w:rsid w:val="00454124"/>
    <w:rsid w:val="004617BB"/>
    <w:rsid w:val="00473C09"/>
    <w:rsid w:val="004826DA"/>
    <w:rsid w:val="00494DBC"/>
    <w:rsid w:val="00495EFF"/>
    <w:rsid w:val="004978BA"/>
    <w:rsid w:val="004A0462"/>
    <w:rsid w:val="004A0F58"/>
    <w:rsid w:val="004A27A5"/>
    <w:rsid w:val="004C4EC4"/>
    <w:rsid w:val="004D784E"/>
    <w:rsid w:val="004F254B"/>
    <w:rsid w:val="004F29B9"/>
    <w:rsid w:val="00500360"/>
    <w:rsid w:val="00510EB1"/>
    <w:rsid w:val="00523FB9"/>
    <w:rsid w:val="00550B0B"/>
    <w:rsid w:val="00555B2C"/>
    <w:rsid w:val="00561898"/>
    <w:rsid w:val="00570C83"/>
    <w:rsid w:val="005A63B8"/>
    <w:rsid w:val="005A7C94"/>
    <w:rsid w:val="005B3633"/>
    <w:rsid w:val="005D1D9A"/>
    <w:rsid w:val="005D420A"/>
    <w:rsid w:val="00630CBA"/>
    <w:rsid w:val="00637518"/>
    <w:rsid w:val="00647660"/>
    <w:rsid w:val="0066593C"/>
    <w:rsid w:val="006764CE"/>
    <w:rsid w:val="00684FDD"/>
    <w:rsid w:val="006A045A"/>
    <w:rsid w:val="006A43F2"/>
    <w:rsid w:val="006B0C2C"/>
    <w:rsid w:val="006C250D"/>
    <w:rsid w:val="006D4BA4"/>
    <w:rsid w:val="00711062"/>
    <w:rsid w:val="00714B19"/>
    <w:rsid w:val="00720FE4"/>
    <w:rsid w:val="00725903"/>
    <w:rsid w:val="00741877"/>
    <w:rsid w:val="00757036"/>
    <w:rsid w:val="00765ABA"/>
    <w:rsid w:val="00770351"/>
    <w:rsid w:val="00783ACD"/>
    <w:rsid w:val="0079699A"/>
    <w:rsid w:val="007A43EB"/>
    <w:rsid w:val="007A797F"/>
    <w:rsid w:val="007B1E2A"/>
    <w:rsid w:val="007B35A4"/>
    <w:rsid w:val="007B3831"/>
    <w:rsid w:val="007C03AE"/>
    <w:rsid w:val="007D3128"/>
    <w:rsid w:val="007F451C"/>
    <w:rsid w:val="00827F6F"/>
    <w:rsid w:val="00836BCB"/>
    <w:rsid w:val="00855353"/>
    <w:rsid w:val="008855C0"/>
    <w:rsid w:val="00915AB3"/>
    <w:rsid w:val="009222B4"/>
    <w:rsid w:val="009334AE"/>
    <w:rsid w:val="0095723A"/>
    <w:rsid w:val="009619EF"/>
    <w:rsid w:val="00965159"/>
    <w:rsid w:val="00984A12"/>
    <w:rsid w:val="00985E9C"/>
    <w:rsid w:val="0099757B"/>
    <w:rsid w:val="009C17A8"/>
    <w:rsid w:val="00A00746"/>
    <w:rsid w:val="00A07E3B"/>
    <w:rsid w:val="00A07FE1"/>
    <w:rsid w:val="00A14841"/>
    <w:rsid w:val="00A31992"/>
    <w:rsid w:val="00A35D80"/>
    <w:rsid w:val="00A55D8F"/>
    <w:rsid w:val="00A64117"/>
    <w:rsid w:val="00A6773E"/>
    <w:rsid w:val="00A91894"/>
    <w:rsid w:val="00AA4C60"/>
    <w:rsid w:val="00AB35EB"/>
    <w:rsid w:val="00AC6CFE"/>
    <w:rsid w:val="00AD4833"/>
    <w:rsid w:val="00AD48DC"/>
    <w:rsid w:val="00AF2784"/>
    <w:rsid w:val="00B00E66"/>
    <w:rsid w:val="00B010BF"/>
    <w:rsid w:val="00B1030C"/>
    <w:rsid w:val="00B271EA"/>
    <w:rsid w:val="00B303CC"/>
    <w:rsid w:val="00B567AA"/>
    <w:rsid w:val="00B70647"/>
    <w:rsid w:val="00B735EC"/>
    <w:rsid w:val="00B77E9C"/>
    <w:rsid w:val="00B85014"/>
    <w:rsid w:val="00B95BEA"/>
    <w:rsid w:val="00BB1C9B"/>
    <w:rsid w:val="00BB3BC0"/>
    <w:rsid w:val="00BD3E36"/>
    <w:rsid w:val="00BF33EA"/>
    <w:rsid w:val="00BF3E10"/>
    <w:rsid w:val="00BF7F0A"/>
    <w:rsid w:val="00C07385"/>
    <w:rsid w:val="00C2028E"/>
    <w:rsid w:val="00C2085E"/>
    <w:rsid w:val="00C3641C"/>
    <w:rsid w:val="00C3683C"/>
    <w:rsid w:val="00C408A1"/>
    <w:rsid w:val="00C41666"/>
    <w:rsid w:val="00C45B54"/>
    <w:rsid w:val="00C46F18"/>
    <w:rsid w:val="00C721E0"/>
    <w:rsid w:val="00C85149"/>
    <w:rsid w:val="00C9000E"/>
    <w:rsid w:val="00C90941"/>
    <w:rsid w:val="00CA00BA"/>
    <w:rsid w:val="00CB5C9C"/>
    <w:rsid w:val="00CC5473"/>
    <w:rsid w:val="00D000FA"/>
    <w:rsid w:val="00D01BFF"/>
    <w:rsid w:val="00D03AFA"/>
    <w:rsid w:val="00D264FC"/>
    <w:rsid w:val="00D3376A"/>
    <w:rsid w:val="00D3CA65"/>
    <w:rsid w:val="00D46AFE"/>
    <w:rsid w:val="00D57F17"/>
    <w:rsid w:val="00D70097"/>
    <w:rsid w:val="00D8427D"/>
    <w:rsid w:val="00D954C2"/>
    <w:rsid w:val="00D971CA"/>
    <w:rsid w:val="00DA44DD"/>
    <w:rsid w:val="00DB2A77"/>
    <w:rsid w:val="00DB4155"/>
    <w:rsid w:val="00DF2B80"/>
    <w:rsid w:val="00E04A45"/>
    <w:rsid w:val="00E37AE1"/>
    <w:rsid w:val="00E40E50"/>
    <w:rsid w:val="00E55751"/>
    <w:rsid w:val="00E57A01"/>
    <w:rsid w:val="00E62CE0"/>
    <w:rsid w:val="00E713BC"/>
    <w:rsid w:val="00EB0922"/>
    <w:rsid w:val="00EB2613"/>
    <w:rsid w:val="00ED39C4"/>
    <w:rsid w:val="00EE53D2"/>
    <w:rsid w:val="00EE6B0D"/>
    <w:rsid w:val="00EF4DB7"/>
    <w:rsid w:val="00EF7526"/>
    <w:rsid w:val="00F12D99"/>
    <w:rsid w:val="00F141E1"/>
    <w:rsid w:val="00F35CC0"/>
    <w:rsid w:val="00F51766"/>
    <w:rsid w:val="00F62CC6"/>
    <w:rsid w:val="00F64CFD"/>
    <w:rsid w:val="00F67FD4"/>
    <w:rsid w:val="00F76D41"/>
    <w:rsid w:val="00F8155B"/>
    <w:rsid w:val="00F93C60"/>
    <w:rsid w:val="00F95DC4"/>
    <w:rsid w:val="00F965D4"/>
    <w:rsid w:val="00FD66E0"/>
    <w:rsid w:val="0122BA5D"/>
    <w:rsid w:val="048C0AB9"/>
    <w:rsid w:val="049583A4"/>
    <w:rsid w:val="04BAB82F"/>
    <w:rsid w:val="0587BA37"/>
    <w:rsid w:val="0657CEC3"/>
    <w:rsid w:val="06B7EF1B"/>
    <w:rsid w:val="0704A0BF"/>
    <w:rsid w:val="0738B3DD"/>
    <w:rsid w:val="07B227E8"/>
    <w:rsid w:val="0888D95D"/>
    <w:rsid w:val="0A8BE585"/>
    <w:rsid w:val="0ADC8D14"/>
    <w:rsid w:val="0C424B9E"/>
    <w:rsid w:val="0D1DEB1C"/>
    <w:rsid w:val="0EEBD31F"/>
    <w:rsid w:val="0EF754CD"/>
    <w:rsid w:val="0FD79091"/>
    <w:rsid w:val="119A60F2"/>
    <w:rsid w:val="119CB547"/>
    <w:rsid w:val="126944B9"/>
    <w:rsid w:val="12877B7A"/>
    <w:rsid w:val="16173110"/>
    <w:rsid w:val="165C1C1B"/>
    <w:rsid w:val="16CBBB02"/>
    <w:rsid w:val="16DD884F"/>
    <w:rsid w:val="17B71A60"/>
    <w:rsid w:val="18B4370A"/>
    <w:rsid w:val="18F17344"/>
    <w:rsid w:val="190442AD"/>
    <w:rsid w:val="1BE9DC27"/>
    <w:rsid w:val="1BEB4054"/>
    <w:rsid w:val="1CC1AD05"/>
    <w:rsid w:val="1CC967BA"/>
    <w:rsid w:val="1E7A2580"/>
    <w:rsid w:val="24441EB7"/>
    <w:rsid w:val="2457469D"/>
    <w:rsid w:val="24E9173A"/>
    <w:rsid w:val="25DF070F"/>
    <w:rsid w:val="26E03D99"/>
    <w:rsid w:val="277BBF79"/>
    <w:rsid w:val="280FB4F5"/>
    <w:rsid w:val="2825F6F6"/>
    <w:rsid w:val="28E18AF3"/>
    <w:rsid w:val="2C76ED4B"/>
    <w:rsid w:val="2CE341A7"/>
    <w:rsid w:val="30E065C8"/>
    <w:rsid w:val="30E47D7C"/>
    <w:rsid w:val="30F9A9B5"/>
    <w:rsid w:val="3239F52D"/>
    <w:rsid w:val="32647708"/>
    <w:rsid w:val="3395060F"/>
    <w:rsid w:val="35368448"/>
    <w:rsid w:val="3608759C"/>
    <w:rsid w:val="3622285B"/>
    <w:rsid w:val="36CCA6D1"/>
    <w:rsid w:val="3734C0FB"/>
    <w:rsid w:val="373A63D2"/>
    <w:rsid w:val="38393B79"/>
    <w:rsid w:val="39805737"/>
    <w:rsid w:val="3B24953F"/>
    <w:rsid w:val="3D3BB2DC"/>
    <w:rsid w:val="3D4364FE"/>
    <w:rsid w:val="3E09124D"/>
    <w:rsid w:val="3E251AE4"/>
    <w:rsid w:val="3EF45CD2"/>
    <w:rsid w:val="3EFB8795"/>
    <w:rsid w:val="3FF33281"/>
    <w:rsid w:val="4022416B"/>
    <w:rsid w:val="40910079"/>
    <w:rsid w:val="4261AFF2"/>
    <w:rsid w:val="42F10423"/>
    <w:rsid w:val="43C448AB"/>
    <w:rsid w:val="44440040"/>
    <w:rsid w:val="44CF6D93"/>
    <w:rsid w:val="45332BB0"/>
    <w:rsid w:val="455EE2B4"/>
    <w:rsid w:val="458BD801"/>
    <w:rsid w:val="46EAB821"/>
    <w:rsid w:val="47BB4EDB"/>
    <w:rsid w:val="48895BAE"/>
    <w:rsid w:val="4A3AAE05"/>
    <w:rsid w:val="4A717C9C"/>
    <w:rsid w:val="4C69227F"/>
    <w:rsid w:val="4DA8CCCD"/>
    <w:rsid w:val="4E2C154E"/>
    <w:rsid w:val="4F168365"/>
    <w:rsid w:val="4F6AAA44"/>
    <w:rsid w:val="4F709FD6"/>
    <w:rsid w:val="50815BAF"/>
    <w:rsid w:val="51145B7D"/>
    <w:rsid w:val="5121C493"/>
    <w:rsid w:val="51D57C7F"/>
    <w:rsid w:val="554D2848"/>
    <w:rsid w:val="56851312"/>
    <w:rsid w:val="56DBF43A"/>
    <w:rsid w:val="5C6E0B72"/>
    <w:rsid w:val="5EDEE6C3"/>
    <w:rsid w:val="6073C6B8"/>
    <w:rsid w:val="60E0EC4E"/>
    <w:rsid w:val="613E90C8"/>
    <w:rsid w:val="6164BBFD"/>
    <w:rsid w:val="622BAB50"/>
    <w:rsid w:val="6808778B"/>
    <w:rsid w:val="6AA192F1"/>
    <w:rsid w:val="6AEB1342"/>
    <w:rsid w:val="6BA4C879"/>
    <w:rsid w:val="6D097FC5"/>
    <w:rsid w:val="6D183E32"/>
    <w:rsid w:val="6F047FF7"/>
    <w:rsid w:val="7326C736"/>
    <w:rsid w:val="73E2DAE7"/>
    <w:rsid w:val="74F7A603"/>
    <w:rsid w:val="7566EFEA"/>
    <w:rsid w:val="75F3C995"/>
    <w:rsid w:val="770ED82C"/>
    <w:rsid w:val="7717B0AC"/>
    <w:rsid w:val="78A87227"/>
    <w:rsid w:val="7A730130"/>
    <w:rsid w:val="7B29B9BF"/>
    <w:rsid w:val="7D32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EA76"/>
  <w15:chartTrackingRefBased/>
  <w15:docId w15:val="{48B30118-C88B-48D8-B637-84416BA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2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D41"/>
    <w:rPr>
      <w:color w:val="954F72" w:themeColor="followedHyperlink"/>
      <w:u w:val="single"/>
    </w:rPr>
  </w:style>
  <w:style w:type="paragraph" w:customStyle="1" w:styleId="Default">
    <w:name w:val="Default"/>
    <w:rsid w:val="00783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untainview.gov/depts/comdev/preservation/rentstabilization/default.asp" TargetMode="External"/><Relationship Id="rId18" Type="http://schemas.openxmlformats.org/officeDocument/2006/relationships/hyperlink" Target="https://seattle.legistar.com/LegislationDetail.aspx?ID=4068243&amp;GUID=5E11FC67-94AD-435A-AC67-945192A34B22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essexpropertytrust.sharepoint.com/:f:/s/rmd-revenuemanagers/EirByXbuGgZGmjVByWuGtW8BbplsLO7z1BHxAoTzobz8Hg?e=MLDeB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ousing.lacity.org/residents/rso-overview" TargetMode="External"/><Relationship Id="rId17" Type="http://schemas.openxmlformats.org/officeDocument/2006/relationships/hyperlink" Target="https://www.santa-ana.org/rso" TargetMode="External"/><Relationship Id="rId25" Type="http://schemas.openxmlformats.org/officeDocument/2006/relationships/hyperlink" Target="https://seattle.legistar.com/LegislationDetail.aspx?ID=5134570&amp;GUID=8ED73298-AD10-417B-B3DD-AB2BB2DCDAE7&amp;FullText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yward-ca.gov/your-government/programs/residential-rent-stabilization" TargetMode="External"/><Relationship Id="rId20" Type="http://schemas.openxmlformats.org/officeDocument/2006/relationships/hyperlink" Target="https://seattle.legistar.com/LegislationDetail.aspx?ID=5134570&amp;GUID=8ED73298-AD10-417B-B3DD-AB2BB2DCDAE7&amp;FullText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ba.lacounty.gov/noevictions/" TargetMode="External"/><Relationship Id="rId24" Type="http://schemas.openxmlformats.org/officeDocument/2006/relationships/hyperlink" Target="https://seattle.legistar.com/LegislationDetail.aspx?ID=4068243&amp;GUID=5E11FC67-94AD-435A-AC67-945192A34B2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njoseca.gov/your-government/departments/housing/renters-apartment-owners/apartment-rent-ordinance" TargetMode="External"/><Relationship Id="rId23" Type="http://schemas.openxmlformats.org/officeDocument/2006/relationships/hyperlink" Target="https://essexpropertytrust.sharepoint.com/:f:/s/rmd-revenuemanagers/EiPmbaW1YsFMlnHh6ykUlkcBdbZ2kKRle6sQIoChvJG7Aw?e=LEcWp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sexpropertytrust.sharepoint.com/:f:/s/rmd-revenuemanagers/EiPmbaW1YsFMlnHh6ykUlkcBdbZ2kKRle6sQIoChvJG7Aw?e=LEcWpH" TargetMode="External"/><Relationship Id="rId19" Type="http://schemas.openxmlformats.org/officeDocument/2006/relationships/hyperlink" Target="https://essexpropertytrust.sharepoint.com/:f:/s/rmd-revenuemanagers/EirByXbuGgZGmjVByWuGtW8BbplsLO7z1BHxAoTzobz8Hg?e=MLDeB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ssexpropertytrust.sharepoint.com/:f:/s/rmd-revenuemanagers/EmgJvsLOiYlOjFyDOBU8lSsBotbJDu38tXlc_S3R-F1aSQ?e=cdMKzV" TargetMode="External"/><Relationship Id="rId14" Type="http://schemas.openxmlformats.org/officeDocument/2006/relationships/hyperlink" Target="https://sfrb.org/home" TargetMode="External"/><Relationship Id="rId22" Type="http://schemas.openxmlformats.org/officeDocument/2006/relationships/hyperlink" Target="https://essexpropertytrust.sharepoint.com/:f:/s/rmd-revenuemanagers/EmgJvsLOiYlOjFyDOBU8lSsBotbJDu38tXlc_S3R-F1aSQ?e=cdMKzV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BDD26115BD04CAFA7F5A35D2DD8E8" ma:contentTypeVersion="6" ma:contentTypeDescription="Create a new document." ma:contentTypeScope="" ma:versionID="5ce0b149596ad7061e383338dbd9b9a3">
  <xsd:schema xmlns:xsd="http://www.w3.org/2001/XMLSchema" xmlns:xs="http://www.w3.org/2001/XMLSchema" xmlns:p="http://schemas.microsoft.com/office/2006/metadata/properties" xmlns:ns2="a7ec4628-b9f7-4a30-87bf-ce37d02a303a" xmlns:ns3="447386d0-33fd-4292-8995-f584513c18aa" targetNamespace="http://schemas.microsoft.com/office/2006/metadata/properties" ma:root="true" ma:fieldsID="7d59b06f3a3522d28f61a8a4649bc09d" ns2:_="" ns3:_="">
    <xsd:import namespace="a7ec4628-b9f7-4a30-87bf-ce37d02a303a"/>
    <xsd:import namespace="447386d0-33fd-4292-8995-f584513c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4628-b9f7-4a30-87bf-ce37d02a3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386d0-33fd-4292-8995-f584513c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A00B-EE5B-481D-A4A5-6E571D6D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4628-b9f7-4a30-87bf-ce37d02a303a"/>
    <ds:schemaRef ds:uri="447386d0-33fd-4292-8995-f584513c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64DDD-04C2-45A1-872C-6EB213C71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35EFA-767F-4269-9C43-E899988E1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DBDED-C233-4720-A537-7A07A182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Sischo</dc:creator>
  <cp:keywords/>
  <dc:description/>
  <cp:lastModifiedBy>Dillon Morley</cp:lastModifiedBy>
  <cp:revision>88</cp:revision>
  <dcterms:created xsi:type="dcterms:W3CDTF">2022-02-08T18:48:00Z</dcterms:created>
  <dcterms:modified xsi:type="dcterms:W3CDTF">2022-02-10T03:22:00Z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0x0101005BBBDD26115BD04CAFA7F5A35D2DD8E8</vt:lpwstr>
  </property>
</Properties>
</file>